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7B" w:rsidRDefault="00211624">
      <w:pPr>
        <w:pStyle w:val="afd"/>
        <w:tabs>
          <w:tab w:val="right" w:pos="9645"/>
        </w:tabs>
        <w:spacing w:before="0" w:beforeAutospacing="0" w:after="0" w:afterAutospacing="0"/>
        <w:jc w:val="both"/>
        <w:rPr>
          <w:rFonts w:ascii="Arial" w:eastAsiaTheme="minorEastAsia" w:hAnsi="Arial" w:cs="Arial"/>
          <w:b/>
          <w:bCs/>
          <w:lang w:val="en-US" w:eastAsia="zh-CN"/>
        </w:rPr>
      </w:pPr>
      <w:r>
        <w:rPr>
          <w:rFonts w:ascii="Arial" w:eastAsiaTheme="minorEastAsia" w:hAnsi="Arial" w:cs="Arial" w:hint="eastAsia"/>
          <w:b/>
          <w:bCs/>
          <w:lang w:val="en-US" w:eastAsia="zh-CN"/>
        </w:rPr>
        <w:t>3GPP TSG-RAN2 Meeting #125bis</w:t>
      </w:r>
      <w:r>
        <w:rPr>
          <w:rFonts w:ascii="Arial" w:eastAsiaTheme="minorEastAsia" w:hAnsi="Arial" w:cs="Arial" w:hint="eastAsia"/>
          <w:b/>
          <w:bCs/>
          <w:lang w:val="en-US" w:eastAsia="zh-CN"/>
        </w:rPr>
        <w:tab/>
        <w:t>R2-24</w:t>
      </w:r>
      <w:r w:rsidR="00611351">
        <w:rPr>
          <w:rFonts w:ascii="Arial" w:eastAsiaTheme="minorEastAsia" w:hAnsi="Arial" w:cs="Arial"/>
          <w:b/>
          <w:bCs/>
          <w:lang w:val="en-US" w:eastAsia="zh-CN"/>
        </w:rPr>
        <w:t>02750</w:t>
      </w:r>
    </w:p>
    <w:p w:rsidR="00066E7B" w:rsidRDefault="00211624">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hint="eastAsia"/>
          <w:b/>
          <w:bCs/>
          <w:kern w:val="0"/>
          <w:sz w:val="24"/>
        </w:rPr>
        <w:t xml:space="preserve">Changsha, China, April 15th </w:t>
      </w:r>
      <w:r>
        <w:rPr>
          <w:rFonts w:ascii="Arial" w:hAnsi="Arial" w:cs="Arial" w:hint="eastAsia"/>
          <w:b/>
          <w:bCs/>
          <w:kern w:val="0"/>
          <w:sz w:val="24"/>
        </w:rPr>
        <w:t>–</w:t>
      </w:r>
      <w:r w:rsidR="00611F82">
        <w:rPr>
          <w:rFonts w:ascii="Arial" w:hAnsi="Arial" w:cs="Arial" w:hint="eastAsia"/>
          <w:b/>
          <w:bCs/>
          <w:kern w:val="0"/>
          <w:sz w:val="24"/>
        </w:rPr>
        <w:t>19</w:t>
      </w:r>
      <w:r w:rsidR="00611F82">
        <w:rPr>
          <w:rFonts w:ascii="Arial" w:hAnsi="Arial" w:cs="Arial"/>
          <w:b/>
          <w:bCs/>
          <w:kern w:val="0"/>
          <w:sz w:val="24"/>
        </w:rPr>
        <w:t>th</w:t>
      </w:r>
      <w:r>
        <w:rPr>
          <w:rFonts w:ascii="Arial" w:hAnsi="Arial" w:cs="Arial" w:hint="eastAsia"/>
          <w:b/>
          <w:bCs/>
          <w:kern w:val="0"/>
          <w:sz w:val="24"/>
        </w:rPr>
        <w:t>, 2024</w:t>
      </w:r>
    </w:p>
    <w:p w:rsidR="000E208A" w:rsidRDefault="000E208A">
      <w:pPr>
        <w:overflowPunct w:val="0"/>
        <w:autoSpaceDE w:val="0"/>
        <w:autoSpaceDN w:val="0"/>
        <w:adjustRightInd w:val="0"/>
        <w:snapToGrid w:val="0"/>
        <w:spacing w:beforeLines="50" w:before="156"/>
        <w:textAlignment w:val="baseline"/>
        <w:rPr>
          <w:rFonts w:ascii="Arial" w:hAnsi="Arial" w:cs="Arial"/>
          <w:b/>
          <w:bCs/>
          <w:snapToGrid w:val="0"/>
          <w:kern w:val="0"/>
          <w:sz w:val="24"/>
        </w:rPr>
      </w:pPr>
    </w:p>
    <w:p w:rsidR="00066E7B" w:rsidRDefault="00211624">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rsidR="00066E7B" w:rsidRDefault="00211624">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RLF and HO failure prediction</w:t>
      </w:r>
    </w:p>
    <w:p w:rsidR="00066E7B" w:rsidRDefault="00211624">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8.3.4</w:t>
      </w:r>
    </w:p>
    <w:p w:rsidR="00066E7B" w:rsidRDefault="00211624">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rsidR="00066E7B" w:rsidRDefault="0021162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66E7B" w:rsidRDefault="00211624">
      <w:pPr>
        <w:spacing w:beforeLines="50" w:before="156"/>
        <w:rPr>
          <w:szCs w:val="20"/>
        </w:rPr>
      </w:pPr>
      <w:r>
        <w:rPr>
          <w:szCs w:val="20"/>
        </w:rPr>
        <w:t>At the RAN 102 meeting, a new SID [1] on ‘Study on Artificial Intelligence (AI)/Machine Learning (ML) for mobility in NR’ was approved. Some of the objects are as follows:</w:t>
      </w:r>
    </w:p>
    <w:tbl>
      <w:tblPr>
        <w:tblStyle w:val="aff0"/>
        <w:tblW w:w="0" w:type="auto"/>
        <w:tblLook w:val="04A0" w:firstRow="1" w:lastRow="0" w:firstColumn="1" w:lastColumn="0" w:noHBand="0" w:noVBand="1"/>
      </w:tblPr>
      <w:tblGrid>
        <w:gridCol w:w="9771"/>
      </w:tblGrid>
      <w:tr w:rsidR="00066E7B">
        <w:tc>
          <w:tcPr>
            <w:tcW w:w="9997" w:type="dxa"/>
          </w:tcPr>
          <w:p w:rsidR="00066E7B" w:rsidRDefault="00211624">
            <w:pPr>
              <w:rPr>
                <w:szCs w:val="20"/>
              </w:rPr>
            </w:pPr>
            <w:r>
              <w:rPr>
                <w:szCs w:val="20"/>
              </w:rPr>
              <w:t>...</w:t>
            </w:r>
          </w:p>
          <w:p w:rsidR="00066E7B" w:rsidRDefault="00211624">
            <w:pPr>
              <w:snapToGrid w:val="0"/>
              <w:spacing w:after="0"/>
              <w:rPr>
                <w:bCs/>
                <w:szCs w:val="20"/>
              </w:rPr>
            </w:pPr>
            <w:r>
              <w:rPr>
                <w:rFonts w:eastAsia="Calibri"/>
                <w:bCs/>
                <w:szCs w:val="20"/>
              </w:rPr>
              <w:t>Study and evaluate potential benefits and gains of AI/ML aided mobility for network triggered L3-based handover, considering the following aspects:</w:t>
            </w:r>
          </w:p>
          <w:p w:rsidR="00066E7B" w:rsidRDefault="00211624">
            <w:pPr>
              <w:numPr>
                <w:ilvl w:val="0"/>
                <w:numId w:val="5"/>
              </w:numPr>
              <w:snapToGrid w:val="0"/>
              <w:spacing w:after="0"/>
              <w:rPr>
                <w:bCs/>
                <w:szCs w:val="20"/>
              </w:rPr>
            </w:pPr>
            <w:r>
              <w:rPr>
                <w:rFonts w:eastAsia="Calibri"/>
                <w:bCs/>
                <w:szCs w:val="20"/>
              </w:rPr>
              <w:t xml:space="preserve">AI/ML based RRM measurement and event prediction, </w:t>
            </w:r>
          </w:p>
          <w:p w:rsidR="00066E7B" w:rsidRDefault="00211624">
            <w:pPr>
              <w:numPr>
                <w:ilvl w:val="1"/>
                <w:numId w:val="5"/>
              </w:numPr>
              <w:snapToGrid w:val="0"/>
              <w:spacing w:after="0"/>
              <w:rPr>
                <w:rFonts w:eastAsia="等线"/>
                <w:bCs/>
                <w:szCs w:val="20"/>
              </w:rPr>
            </w:pPr>
            <w:r>
              <w:rPr>
                <w:rFonts w:eastAsia="Calibri"/>
                <w:bCs/>
                <w:szCs w:val="20"/>
              </w:rPr>
              <w:t>Cell-level measurement prediction including intra and inter-frequency (UE sided and NW sided model) [RAN2]</w:t>
            </w:r>
          </w:p>
          <w:p w:rsidR="00066E7B" w:rsidRDefault="00211624">
            <w:pPr>
              <w:numPr>
                <w:ilvl w:val="2"/>
                <w:numId w:val="5"/>
              </w:numPr>
              <w:snapToGrid w:val="0"/>
              <w:spacing w:after="0"/>
              <w:rPr>
                <w:rFonts w:eastAsia="等线"/>
                <w:bCs/>
                <w:szCs w:val="20"/>
              </w:rPr>
            </w:pPr>
            <w:r>
              <w:rPr>
                <w:rFonts w:eastAsia="Calibri"/>
                <w:bCs/>
                <w:szCs w:val="20"/>
              </w:rPr>
              <w:t>Inter-cell Beam-level measurement prediction for L3 Mobility (UE sided and NW sided model) [RAN2]</w:t>
            </w:r>
          </w:p>
          <w:p w:rsidR="00066E7B" w:rsidRDefault="00211624">
            <w:pPr>
              <w:numPr>
                <w:ilvl w:val="1"/>
                <w:numId w:val="5"/>
              </w:numPr>
              <w:snapToGrid w:val="0"/>
              <w:spacing w:after="0"/>
              <w:rPr>
                <w:bCs/>
                <w:szCs w:val="20"/>
              </w:rPr>
            </w:pPr>
            <w:r>
              <w:rPr>
                <w:rFonts w:eastAsia="Calibri"/>
                <w:bCs/>
                <w:szCs w:val="20"/>
              </w:rPr>
              <w:t>HO failure/RLF prediction (UE sided model) [RAN2]</w:t>
            </w:r>
          </w:p>
          <w:p w:rsidR="00066E7B" w:rsidRDefault="00211624">
            <w:pPr>
              <w:numPr>
                <w:ilvl w:val="1"/>
                <w:numId w:val="5"/>
              </w:numPr>
              <w:snapToGrid w:val="0"/>
              <w:spacing w:after="0"/>
              <w:rPr>
                <w:bCs/>
                <w:szCs w:val="20"/>
              </w:rPr>
            </w:pPr>
            <w:r>
              <w:rPr>
                <w:rFonts w:eastAsia="Calibri"/>
                <w:bCs/>
                <w:szCs w:val="20"/>
              </w:rPr>
              <w:t>Measurement events prediction (UE sided model) [RAN2]</w:t>
            </w:r>
          </w:p>
          <w:p w:rsidR="00066E7B" w:rsidRDefault="00211624">
            <w:pPr>
              <w:numPr>
                <w:ilvl w:val="0"/>
                <w:numId w:val="5"/>
              </w:numPr>
              <w:snapToGrid w:val="0"/>
              <w:spacing w:after="0"/>
              <w:rPr>
                <w:bCs/>
                <w:szCs w:val="20"/>
              </w:rPr>
            </w:pPr>
            <w:r>
              <w:rPr>
                <w:bCs/>
                <w:szCs w:val="20"/>
              </w:rPr>
              <w:t>Study the need/benefits of any other UE assistance information for the network side model [RAN2]</w:t>
            </w:r>
          </w:p>
          <w:p w:rsidR="00066E7B" w:rsidRDefault="00211624">
            <w:pPr>
              <w:rPr>
                <w:szCs w:val="20"/>
              </w:rPr>
            </w:pPr>
            <w:r>
              <w:rPr>
                <w:szCs w:val="20"/>
              </w:rPr>
              <w:t>...</w:t>
            </w:r>
          </w:p>
        </w:tc>
      </w:tr>
    </w:tbl>
    <w:p w:rsidR="00066E7B" w:rsidRDefault="00211624">
      <w:pPr>
        <w:spacing w:beforeLines="50" w:before="156"/>
        <w:rPr>
          <w:szCs w:val="20"/>
        </w:rPr>
      </w:pPr>
      <w:r>
        <w:rPr>
          <w:szCs w:val="20"/>
        </w:rPr>
        <w:t>In this contribution, we</w:t>
      </w:r>
      <w:r>
        <w:rPr>
          <w:rFonts w:hint="eastAsia"/>
          <w:szCs w:val="20"/>
        </w:rPr>
        <w:t xml:space="preserve"> mainly</w:t>
      </w:r>
      <w:r>
        <w:rPr>
          <w:szCs w:val="20"/>
        </w:rPr>
        <w:t xml:space="preserve"> discuss </w:t>
      </w:r>
      <w:r>
        <w:rPr>
          <w:rFonts w:hint="eastAsia"/>
          <w:szCs w:val="20"/>
        </w:rPr>
        <w:t xml:space="preserve">handover failure (HO) prediction and RLF prediction with the UE side model. </w:t>
      </w:r>
      <w:proofErr w:type="gramStart"/>
      <w:r>
        <w:rPr>
          <w:rFonts w:hint="eastAsia"/>
          <w:szCs w:val="20"/>
        </w:rPr>
        <w:t>Also</w:t>
      </w:r>
      <w:proofErr w:type="gramEnd"/>
      <w:r>
        <w:rPr>
          <w:rFonts w:hint="eastAsia"/>
          <w:szCs w:val="20"/>
        </w:rPr>
        <w:t xml:space="preserve"> the corresponding KPI would be discussed.</w:t>
      </w:r>
    </w:p>
    <w:p w:rsidR="00066E7B" w:rsidRDefault="0021162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066E7B" w:rsidRDefault="00211624">
      <w:r>
        <w:rPr>
          <w:rFonts w:hint="eastAsia"/>
        </w:rPr>
        <w:t>Some unintended event (RLF, handover failure) would result in the RRM performance deterioration. If the network can know some prediction information about these unintended events in advance, some measures can be taken to avoid unintended event. In the section, we</w:t>
      </w:r>
      <w:r>
        <w:t>’</w:t>
      </w:r>
      <w:r>
        <w:rPr>
          <w:rFonts w:hint="eastAsia"/>
        </w:rPr>
        <w:t xml:space="preserve">d like to share our views on RLF prediction and HO failure prediction.  </w:t>
      </w:r>
    </w:p>
    <w:p w:rsidR="00066E7B" w:rsidRDefault="00211624">
      <w:pPr>
        <w:outlineLvl w:val="1"/>
        <w:rPr>
          <w:rFonts w:ascii="Arial" w:hAnsi="Arial" w:cs="Arial"/>
          <w:sz w:val="24"/>
        </w:rPr>
      </w:pPr>
      <w:r>
        <w:rPr>
          <w:rFonts w:ascii="Arial" w:hAnsi="Arial" w:cs="Arial"/>
          <w:sz w:val="24"/>
        </w:rPr>
        <w:t xml:space="preserve">2.1 RLF prediction </w:t>
      </w:r>
    </w:p>
    <w:p w:rsidR="00066E7B" w:rsidRDefault="00211624">
      <w:pPr>
        <w:rPr>
          <w:szCs w:val="20"/>
        </w:rPr>
      </w:pPr>
      <w:r>
        <w:rPr>
          <w:rFonts w:hint="eastAsia"/>
          <w:szCs w:val="20"/>
        </w:rPr>
        <w:t xml:space="preserve">In the existing specification, the network configures a list of reference signals for radio link monitoring to the UE. Then the physical layer of the UE assesses the radio link quality every indication period. When the radio link quality is worse than the </w:t>
      </w:r>
      <w:proofErr w:type="spellStart"/>
      <w:r>
        <w:rPr>
          <w:rFonts w:hint="eastAsia"/>
          <w:szCs w:val="20"/>
        </w:rPr>
        <w:t>Qout</w:t>
      </w:r>
      <w:proofErr w:type="spellEnd"/>
      <w:r>
        <w:rPr>
          <w:rFonts w:hint="eastAsia"/>
          <w:szCs w:val="20"/>
        </w:rPr>
        <w:t xml:space="preserve"> threshold for all resources over monitor window, the physical layer indicates out-of-sync indication to RRC layer; when the radio link quality is better than the Qin threshold for any resources over monitor window, the physical layer indicates in-sync indication to RRC layer, as shown in Fig.1:</w:t>
      </w:r>
    </w:p>
    <w:p w:rsidR="00066E7B" w:rsidRDefault="00611351">
      <w:pPr>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34.5pt">
            <v:imagedata r:id="rId8" o:title=""/>
          </v:shape>
        </w:pict>
      </w:r>
    </w:p>
    <w:p w:rsidR="00066E7B" w:rsidRDefault="00211624">
      <w:pPr>
        <w:jc w:val="center"/>
      </w:pPr>
      <w:r>
        <w:rPr>
          <w:rFonts w:hint="eastAsia"/>
        </w:rPr>
        <w:t>Fig 1: radio link monitoring model</w:t>
      </w:r>
    </w:p>
    <w:p w:rsidR="00066E7B" w:rsidRDefault="00211624">
      <w:r>
        <w:rPr>
          <w:rFonts w:hint="eastAsia"/>
          <w:szCs w:val="20"/>
        </w:rPr>
        <w:t xml:space="preserve">In the RRC layer, </w:t>
      </w:r>
      <w:r>
        <w:rPr>
          <w:rFonts w:hint="eastAsia"/>
        </w:rPr>
        <w:t xml:space="preserve">timer T310 would start upon receiving N310 consecutive </w:t>
      </w:r>
      <w:r>
        <w:t>‘</w:t>
      </w:r>
      <w:r>
        <w:rPr>
          <w:rFonts w:hint="eastAsia"/>
        </w:rPr>
        <w:t>out-of-sync</w:t>
      </w:r>
      <w:r>
        <w:t>’</w:t>
      </w:r>
      <w:r>
        <w:rPr>
          <w:rFonts w:hint="eastAsia"/>
        </w:rPr>
        <w:t xml:space="preserve"> indication from physical layers. If timer T310 is running and the UE receives N311 consecutive </w:t>
      </w:r>
      <w:r>
        <w:t>‘</w:t>
      </w:r>
      <w:r>
        <w:rPr>
          <w:rFonts w:hint="eastAsia"/>
        </w:rPr>
        <w:t>in-sync</w:t>
      </w:r>
      <w:r>
        <w:t>’</w:t>
      </w:r>
      <w:r>
        <w:rPr>
          <w:rFonts w:hint="eastAsia"/>
        </w:rPr>
        <w:t xml:space="preserve"> indication, the timer T310 would stop. Upon T310 expires, the RLF is declared. The overall procedure can be seen in Fig.2.</w:t>
      </w:r>
    </w:p>
    <w:p w:rsidR="00066E7B" w:rsidRDefault="00611351">
      <w:pPr>
        <w:jc w:val="center"/>
      </w:pPr>
      <w:r>
        <w:pict>
          <v:shape id="_x0000_i1026" type="#_x0000_t75" style="width:303pt;height:97.5pt">
            <v:imagedata r:id="rId9" o:title=""/>
          </v:shape>
        </w:pict>
      </w:r>
    </w:p>
    <w:p w:rsidR="00066E7B" w:rsidRDefault="00211624">
      <w:pPr>
        <w:jc w:val="center"/>
      </w:pPr>
      <w:r>
        <w:rPr>
          <w:rFonts w:hint="eastAsia"/>
        </w:rPr>
        <w:t>Fig.2 RLF determination model</w:t>
      </w:r>
    </w:p>
    <w:p w:rsidR="00066E7B" w:rsidRDefault="00211624">
      <w:pPr>
        <w:rPr>
          <w:szCs w:val="20"/>
        </w:rPr>
      </w:pPr>
      <w:r>
        <w:rPr>
          <w:rFonts w:hint="eastAsia"/>
          <w:szCs w:val="20"/>
        </w:rPr>
        <w:t xml:space="preserve">For RLF prediction, the UE can predict the results of radio link monitoring reference signaling (RLM RS) first, then predicts whether the RLF would occur based on the predicted results, similar to measurement event prediction. Considering the maximum number of RLM RS is 8, the benefit of spatial domain measurement prediction is limited. While, with temporal domain prediction, the UE can predict the measurement results of RLM RS in the future based on their historical measurement results, then further determine whether the RLF would occur in the future. In this way, some measures can be taken to avoid RLF occurrence. Therefore, we suggest to only consider temporal domain prediction in the RLF prediction. Besides, in the existing RLM scheme, SINR value is used to evaluate radio link quality. Here, we can follow the same way. That is, the UE predicts the SINR values of the RLM RS in the future based on historical SINR results first, then further predict whether the RLF would occur. The RLF prediction model is shown in the Fig.3. It is noted that </w:t>
      </w:r>
      <w:r>
        <w:rPr>
          <w:szCs w:val="20"/>
        </w:rPr>
        <w:t>“</w:t>
      </w:r>
      <w:r>
        <w:rPr>
          <w:rFonts w:hint="eastAsia"/>
          <w:szCs w:val="20"/>
        </w:rPr>
        <w:t>RLF prediction</w:t>
      </w:r>
      <w:r>
        <w:rPr>
          <w:szCs w:val="20"/>
        </w:rPr>
        <w:t>”</w:t>
      </w:r>
      <w:r>
        <w:rPr>
          <w:rFonts w:hint="eastAsia"/>
          <w:szCs w:val="20"/>
        </w:rPr>
        <w:t xml:space="preserve"> in the Fig. 3 is not based on any AI/ML model.</w:t>
      </w:r>
    </w:p>
    <w:p w:rsidR="00066E7B" w:rsidRDefault="00211624">
      <w:pPr>
        <w:jc w:val="center"/>
        <w:rPr>
          <w:szCs w:val="20"/>
        </w:rPr>
      </w:pPr>
      <w:r>
        <w:object w:dxaOrig="7973" w:dyaOrig="1573">
          <v:shape id="_x0000_i1027" type="#_x0000_t75" style="width:398.5pt;height:78.5pt" o:ole="">
            <v:imagedata r:id="rId10" o:title=""/>
          </v:shape>
          <o:OLEObject Type="Embed" ProgID="Visio.Drawing.11" ShapeID="_x0000_i1027" DrawAspect="Content" ObjectID="_1773827483" r:id="rId11"/>
        </w:object>
      </w:r>
    </w:p>
    <w:p w:rsidR="00066E7B" w:rsidRDefault="00211624">
      <w:pPr>
        <w:jc w:val="center"/>
        <w:rPr>
          <w:szCs w:val="20"/>
        </w:rPr>
      </w:pPr>
      <w:r>
        <w:rPr>
          <w:rFonts w:hint="eastAsia"/>
          <w:szCs w:val="20"/>
        </w:rPr>
        <w:t>Fig.3 RLF prediction model</w:t>
      </w:r>
    </w:p>
    <w:p w:rsidR="00066E7B" w:rsidRDefault="00211624">
      <w:pPr>
        <w:rPr>
          <w:b/>
          <w:bCs/>
          <w:szCs w:val="20"/>
        </w:rPr>
      </w:pPr>
      <w:r>
        <w:rPr>
          <w:rFonts w:hint="eastAsia"/>
          <w:b/>
          <w:bCs/>
          <w:szCs w:val="20"/>
        </w:rPr>
        <w:t>Observation 1: The benefit of spatial domain measurement prediction is limited in the RLF prediction.</w:t>
      </w:r>
    </w:p>
    <w:p w:rsidR="00066E7B" w:rsidRDefault="00211624">
      <w:pPr>
        <w:rPr>
          <w:b/>
          <w:bCs/>
          <w:szCs w:val="20"/>
        </w:rPr>
      </w:pPr>
      <w:r>
        <w:rPr>
          <w:rFonts w:hint="eastAsia"/>
          <w:b/>
          <w:bCs/>
          <w:szCs w:val="20"/>
        </w:rPr>
        <w:t>Observation 2: With temporal domain measurement prediction, some measures can be taken to avoid RLF occurrence.</w:t>
      </w:r>
    </w:p>
    <w:p w:rsidR="00066E7B" w:rsidRDefault="00211624">
      <w:pPr>
        <w:rPr>
          <w:b/>
          <w:bCs/>
          <w:szCs w:val="20"/>
        </w:rPr>
      </w:pPr>
      <w:r>
        <w:rPr>
          <w:rFonts w:hint="eastAsia"/>
          <w:b/>
          <w:bCs/>
          <w:szCs w:val="20"/>
        </w:rPr>
        <w:t xml:space="preserve">Proposal 1: Only temporal domain prediction is considered </w:t>
      </w:r>
      <w:r w:rsidR="00E06EC5">
        <w:rPr>
          <w:b/>
          <w:bCs/>
          <w:szCs w:val="20"/>
        </w:rPr>
        <w:t>for</w:t>
      </w:r>
      <w:r>
        <w:rPr>
          <w:rFonts w:hint="eastAsia"/>
          <w:b/>
          <w:bCs/>
          <w:szCs w:val="20"/>
        </w:rPr>
        <w:t xml:space="preserve"> RLF prediction.</w:t>
      </w:r>
    </w:p>
    <w:p w:rsidR="00066E7B" w:rsidRDefault="00211624">
      <w:pPr>
        <w:rPr>
          <w:b/>
          <w:bCs/>
          <w:szCs w:val="20"/>
        </w:rPr>
      </w:pPr>
      <w:r>
        <w:rPr>
          <w:rFonts w:hint="eastAsia"/>
          <w:b/>
          <w:bCs/>
          <w:szCs w:val="20"/>
        </w:rPr>
        <w:t xml:space="preserve">Proposal 2: For RLF prediction, the UE </w:t>
      </w:r>
      <w:r w:rsidR="00C94B10">
        <w:rPr>
          <w:b/>
          <w:bCs/>
          <w:szCs w:val="20"/>
        </w:rPr>
        <w:t xml:space="preserve">first </w:t>
      </w:r>
      <w:r>
        <w:rPr>
          <w:rFonts w:hint="eastAsia"/>
          <w:b/>
          <w:bCs/>
          <w:szCs w:val="20"/>
        </w:rPr>
        <w:t xml:space="preserve">predicts the </w:t>
      </w:r>
      <w:r w:rsidR="00C94B10">
        <w:rPr>
          <w:b/>
          <w:bCs/>
          <w:szCs w:val="20"/>
        </w:rPr>
        <w:t xml:space="preserve">future </w:t>
      </w:r>
      <w:r>
        <w:rPr>
          <w:rFonts w:hint="eastAsia"/>
          <w:b/>
          <w:bCs/>
          <w:szCs w:val="20"/>
        </w:rPr>
        <w:t xml:space="preserve">SINR value of RLM RS </w:t>
      </w:r>
      <w:r w:rsidR="00C94B10">
        <w:rPr>
          <w:b/>
          <w:bCs/>
          <w:szCs w:val="20"/>
        </w:rPr>
        <w:t>based on historical SINR results</w:t>
      </w:r>
      <w:r>
        <w:rPr>
          <w:rFonts w:hint="eastAsia"/>
          <w:b/>
          <w:bCs/>
          <w:szCs w:val="20"/>
        </w:rPr>
        <w:t>, then predicts whether the RLF would occur based on the predicted SINR results.</w:t>
      </w:r>
    </w:p>
    <w:p w:rsidR="003F0D7A" w:rsidRDefault="003F0D7A" w:rsidP="003F0D7A">
      <w:pPr>
        <w:numPr>
          <w:ilvl w:val="0"/>
          <w:numId w:val="6"/>
        </w:numPr>
        <w:rPr>
          <w:szCs w:val="20"/>
        </w:rPr>
      </w:pPr>
      <w:r>
        <w:rPr>
          <w:szCs w:val="20"/>
        </w:rPr>
        <w:t>Simulation assumption</w:t>
      </w:r>
    </w:p>
    <w:p w:rsidR="003F0D7A" w:rsidRDefault="003F0D7A" w:rsidP="00611351">
      <w:r w:rsidRPr="00611351">
        <w:rPr>
          <w:bCs/>
          <w:szCs w:val="20"/>
        </w:rPr>
        <w:t xml:space="preserve">Regarding the simulation assumption, </w:t>
      </w:r>
      <w:r>
        <w:rPr>
          <w:rFonts w:hint="eastAsia"/>
        </w:rPr>
        <w:t xml:space="preserve">we can reuse the parameters values provided in </w:t>
      </w:r>
      <w:r>
        <w:t>Table 5.2.1.3.1</w:t>
      </w:r>
      <w:r>
        <w:rPr>
          <w:rFonts w:hint="eastAsia"/>
        </w:rPr>
        <w:t xml:space="preserve"> of TR 36.839:</w:t>
      </w:r>
    </w:p>
    <w:p w:rsidR="003F0D7A" w:rsidRDefault="003F0D7A" w:rsidP="003F0D7A">
      <w:pPr>
        <w:pStyle w:val="TH"/>
        <w:snapToGrid w:val="0"/>
        <w:spacing w:before="0" w:after="0"/>
        <w:rPr>
          <w:color w:val="auto"/>
        </w:rPr>
      </w:pPr>
      <w:r>
        <w:rPr>
          <w:color w:val="auto"/>
        </w:rPr>
        <w:t>Table 5.2.1.3.1: The parameters for determine the RLFs and the PDCCH failures.</w:t>
      </w:r>
    </w:p>
    <w:tbl>
      <w:tblPr>
        <w:tblpPr w:leftFromText="180" w:rightFromText="180" w:vertAnchor="text" w:horzAnchor="page" w:tblpX="1779" w:tblpY="310"/>
        <w:tblW w:w="9032" w:type="dxa"/>
        <w:tblCellMar>
          <w:left w:w="0" w:type="dxa"/>
          <w:right w:w="0" w:type="dxa"/>
        </w:tblCellMar>
        <w:tblLook w:val="04A0" w:firstRow="1" w:lastRow="0" w:firstColumn="1" w:lastColumn="0" w:noHBand="0" w:noVBand="1"/>
      </w:tblPr>
      <w:tblGrid>
        <w:gridCol w:w="3772"/>
        <w:gridCol w:w="5260"/>
      </w:tblGrid>
      <w:tr w:rsidR="003F0D7A" w:rsidTr="000A6573">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3F0D7A" w:rsidRDefault="003F0D7A" w:rsidP="000A6573">
            <w:pPr>
              <w:pStyle w:val="TAH"/>
              <w:snapToGrid w:val="0"/>
              <w:spacing w:after="0"/>
              <w:rPr>
                <w:rFonts w:eastAsia="Batang"/>
                <w:lang w:eastAsia="ko-KR"/>
              </w:rPr>
            </w:pPr>
            <w:r>
              <w:rPr>
                <w:rFonts w:eastAsia="Batang"/>
                <w:lang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3F0D7A" w:rsidRDefault="003F0D7A" w:rsidP="000A6573">
            <w:pPr>
              <w:pStyle w:val="TAH"/>
              <w:snapToGrid w:val="0"/>
              <w:spacing w:after="0"/>
              <w:rPr>
                <w:rFonts w:eastAsia="Batang"/>
                <w:lang w:eastAsia="ko-KR"/>
              </w:rPr>
            </w:pPr>
            <w:r>
              <w:rPr>
                <w:rFonts w:eastAsia="Batang"/>
                <w:lang w:eastAsia="ko-KR"/>
              </w:rPr>
              <w:t xml:space="preserve">Description </w:t>
            </w:r>
          </w:p>
        </w:tc>
      </w:tr>
      <w:tr w:rsidR="003F0D7A" w:rsidTr="000A6573">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proofErr w:type="spellStart"/>
            <w:r>
              <w:rPr>
                <w:rFonts w:eastAsia="Batang"/>
                <w:lang w:eastAsia="ko-KR"/>
              </w:rPr>
              <w:t>Qout</w:t>
            </w:r>
            <w:proofErr w:type="spellEnd"/>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-8 dB</w:t>
            </w:r>
          </w:p>
        </w:tc>
      </w:tr>
      <w:tr w:rsidR="003F0D7A" w:rsidTr="000A6573">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Qin</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-6 dB</w:t>
            </w:r>
          </w:p>
        </w:tc>
      </w:tr>
      <w:tr w:rsidR="003F0D7A" w:rsidTr="000A6573">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T310</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1s (the default value in 36.331)</w:t>
            </w:r>
          </w:p>
        </w:tc>
      </w:tr>
      <w:tr w:rsidR="003F0D7A" w:rsidTr="000A6573">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N310</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1</w:t>
            </w:r>
          </w:p>
        </w:tc>
      </w:tr>
      <w:tr w:rsidR="003F0D7A" w:rsidTr="000A6573">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T311</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Not used for calibration (since RLF recovery is not simulated in the calibration)</w:t>
            </w:r>
          </w:p>
        </w:tc>
      </w:tr>
      <w:tr w:rsidR="003F0D7A" w:rsidTr="000A6573">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3F0D7A" w:rsidRDefault="003F0D7A" w:rsidP="000A6573">
            <w:pPr>
              <w:pStyle w:val="TAL"/>
              <w:snapToGrid w:val="0"/>
              <w:spacing w:after="0"/>
              <w:rPr>
                <w:rFonts w:eastAsia="Batang"/>
                <w:lang w:eastAsia="ko-KR"/>
              </w:rPr>
            </w:pPr>
            <w:r>
              <w:rPr>
                <w:rFonts w:eastAsia="Batang"/>
                <w:lang w:eastAsia="ko-KR"/>
              </w:rPr>
              <w:t>1</w:t>
            </w:r>
          </w:p>
        </w:tc>
      </w:tr>
    </w:tbl>
    <w:p w:rsidR="003F0D7A" w:rsidRDefault="003F0D7A" w:rsidP="003F0D7A">
      <w:pPr>
        <w:snapToGrid w:val="0"/>
      </w:pPr>
    </w:p>
    <w:p w:rsidR="003F0D7A" w:rsidRDefault="003F0D7A" w:rsidP="003F0D7A">
      <w:pPr>
        <w:rPr>
          <w:b/>
          <w:bCs/>
          <w:szCs w:val="20"/>
        </w:rPr>
      </w:pPr>
      <w:r>
        <w:rPr>
          <w:rFonts w:hint="eastAsia"/>
          <w:b/>
          <w:bCs/>
          <w:szCs w:val="20"/>
        </w:rPr>
        <w:t xml:space="preserve">Proposal 3: </w:t>
      </w:r>
      <w:r>
        <w:rPr>
          <w:b/>
          <w:bCs/>
          <w:szCs w:val="20"/>
        </w:rPr>
        <w:t>Reuse the simulation parameters in TR 36.839 Table 5.2.1.3.1 for RLF prediction</w:t>
      </w:r>
      <w:r>
        <w:rPr>
          <w:rFonts w:hint="eastAsia"/>
          <w:b/>
          <w:bCs/>
          <w:szCs w:val="20"/>
        </w:rPr>
        <w:t>:</w:t>
      </w:r>
    </w:p>
    <w:p w:rsidR="003F0D7A" w:rsidRDefault="003F0D7A" w:rsidP="003F0D7A">
      <w:pPr>
        <w:ind w:firstLine="420"/>
        <w:rPr>
          <w:b/>
          <w:bCs/>
          <w:szCs w:val="20"/>
        </w:rPr>
      </w:pPr>
      <w:r>
        <w:rPr>
          <w:rFonts w:hint="eastAsia"/>
          <w:b/>
          <w:bCs/>
          <w:szCs w:val="20"/>
        </w:rPr>
        <w:t xml:space="preserve">- </w:t>
      </w:r>
      <w:proofErr w:type="spellStart"/>
      <w:r>
        <w:rPr>
          <w:b/>
          <w:bCs/>
          <w:szCs w:val="20"/>
        </w:rPr>
        <w:t>Qout</w:t>
      </w:r>
      <w:proofErr w:type="spellEnd"/>
      <w:r>
        <w:rPr>
          <w:b/>
          <w:bCs/>
          <w:szCs w:val="20"/>
        </w:rPr>
        <w:t xml:space="preserve"> = -8dB, Qin = -6dB</w:t>
      </w:r>
      <w:r>
        <w:rPr>
          <w:rFonts w:hint="eastAsia"/>
          <w:b/>
          <w:bCs/>
          <w:szCs w:val="20"/>
        </w:rPr>
        <w:t>;</w:t>
      </w:r>
    </w:p>
    <w:p w:rsidR="003F0D7A" w:rsidRPr="003F0D7A" w:rsidRDefault="003F0D7A" w:rsidP="00611351">
      <w:pPr>
        <w:ind w:firstLine="420"/>
        <w:rPr>
          <w:b/>
          <w:bCs/>
          <w:szCs w:val="20"/>
        </w:rPr>
      </w:pPr>
      <w:r>
        <w:rPr>
          <w:rFonts w:hint="eastAsia"/>
          <w:b/>
          <w:bCs/>
          <w:szCs w:val="20"/>
        </w:rPr>
        <w:t>-</w:t>
      </w:r>
      <w:r>
        <w:rPr>
          <w:b/>
          <w:bCs/>
          <w:szCs w:val="20"/>
        </w:rPr>
        <w:t xml:space="preserve"> T310=1s, N310=1, N311=1.</w:t>
      </w:r>
    </w:p>
    <w:p w:rsidR="00066E7B" w:rsidRDefault="00211624">
      <w:pPr>
        <w:numPr>
          <w:ilvl w:val="0"/>
          <w:numId w:val="6"/>
        </w:numPr>
        <w:rPr>
          <w:szCs w:val="20"/>
        </w:rPr>
      </w:pPr>
      <w:r>
        <w:rPr>
          <w:rFonts w:hint="eastAsia"/>
          <w:szCs w:val="20"/>
        </w:rPr>
        <w:t>KPI</w:t>
      </w:r>
    </w:p>
    <w:p w:rsidR="00066E7B" w:rsidRDefault="00211624">
      <w:pPr>
        <w:rPr>
          <w:szCs w:val="20"/>
        </w:rPr>
      </w:pPr>
      <w:r>
        <w:rPr>
          <w:rFonts w:hint="eastAsia"/>
          <w:szCs w:val="20"/>
        </w:rPr>
        <w:t>For RLF prediction, the following performance metrics can be considered to evaluate the simulation results:</w:t>
      </w:r>
    </w:p>
    <w:p w:rsidR="00066E7B" w:rsidRDefault="00211624">
      <w:pPr>
        <w:numPr>
          <w:ilvl w:val="0"/>
          <w:numId w:val="7"/>
        </w:numPr>
        <w:rPr>
          <w:szCs w:val="20"/>
        </w:rPr>
      </w:pPr>
      <w:r>
        <w:rPr>
          <w:rFonts w:hint="eastAsia"/>
          <w:szCs w:val="20"/>
        </w:rPr>
        <w:t>SINR prediction accuracy:</w:t>
      </w:r>
    </w:p>
    <w:p w:rsidR="00066E7B" w:rsidRDefault="00211624">
      <w:pPr>
        <w:ind w:left="840"/>
        <w:rPr>
          <w:szCs w:val="20"/>
        </w:rPr>
      </w:pPr>
      <w:r>
        <w:rPr>
          <w:rFonts w:hint="eastAsia"/>
          <w:szCs w:val="20"/>
        </w:rPr>
        <w:t>- The CDF of SINR difference of RLM RS</w:t>
      </w:r>
    </w:p>
    <w:p w:rsidR="00066E7B" w:rsidRDefault="00211624">
      <w:pPr>
        <w:ind w:left="840"/>
        <w:rPr>
          <w:szCs w:val="20"/>
        </w:rPr>
      </w:pPr>
      <w:r>
        <w:rPr>
          <w:rFonts w:hint="eastAsia"/>
          <w:szCs w:val="20"/>
        </w:rPr>
        <w:t>- The average SINR difference of RLM RS</w:t>
      </w:r>
    </w:p>
    <w:p w:rsidR="00066E7B" w:rsidRDefault="00211624">
      <w:pPr>
        <w:numPr>
          <w:ilvl w:val="0"/>
          <w:numId w:val="7"/>
        </w:numPr>
        <w:rPr>
          <w:szCs w:val="20"/>
        </w:rPr>
      </w:pPr>
      <w:r>
        <w:rPr>
          <w:rFonts w:hint="eastAsia"/>
          <w:szCs w:val="20"/>
        </w:rPr>
        <w:t>RLF occurrence prediction accuracy:</w:t>
      </w:r>
    </w:p>
    <w:p w:rsidR="00066E7B" w:rsidRDefault="00211624">
      <w:pPr>
        <w:ind w:left="840"/>
        <w:rPr>
          <w:szCs w:val="20"/>
        </w:rPr>
      </w:pPr>
      <w:r>
        <w:rPr>
          <w:rFonts w:hint="eastAsia"/>
          <w:szCs w:val="20"/>
        </w:rPr>
        <w:t>- The CDF of time difference between the predicted RLF occurred time and actual RLF occurred time</w:t>
      </w:r>
    </w:p>
    <w:p w:rsidR="00066E7B" w:rsidRDefault="00211624">
      <w:pPr>
        <w:rPr>
          <w:b/>
          <w:bCs/>
          <w:szCs w:val="20"/>
        </w:rPr>
      </w:pPr>
      <w:r>
        <w:rPr>
          <w:rFonts w:hint="eastAsia"/>
          <w:b/>
          <w:bCs/>
          <w:szCs w:val="20"/>
        </w:rPr>
        <w:t xml:space="preserve">Proposal </w:t>
      </w:r>
      <w:r w:rsidR="00447917">
        <w:rPr>
          <w:b/>
          <w:bCs/>
          <w:szCs w:val="20"/>
        </w:rPr>
        <w:t>4</w:t>
      </w:r>
      <w:r>
        <w:rPr>
          <w:rFonts w:hint="eastAsia"/>
          <w:b/>
          <w:bCs/>
          <w:szCs w:val="20"/>
        </w:rPr>
        <w:t>: Regarding RLF prediction simulation evaluation, consider the following KPI:</w:t>
      </w:r>
    </w:p>
    <w:p w:rsidR="00066E7B" w:rsidRDefault="00211624">
      <w:pPr>
        <w:ind w:firstLine="420"/>
        <w:rPr>
          <w:b/>
          <w:bCs/>
          <w:szCs w:val="20"/>
        </w:rPr>
      </w:pPr>
      <w:r>
        <w:rPr>
          <w:rFonts w:hint="eastAsia"/>
          <w:b/>
          <w:bCs/>
          <w:szCs w:val="20"/>
        </w:rPr>
        <w:t>- SINR prediction accuracy;</w:t>
      </w:r>
    </w:p>
    <w:p w:rsidR="00066E7B" w:rsidRDefault="00211624">
      <w:pPr>
        <w:ind w:firstLine="420"/>
        <w:rPr>
          <w:b/>
          <w:bCs/>
          <w:szCs w:val="20"/>
        </w:rPr>
      </w:pPr>
      <w:r>
        <w:rPr>
          <w:rFonts w:hint="eastAsia"/>
          <w:b/>
          <w:bCs/>
          <w:szCs w:val="20"/>
        </w:rPr>
        <w:t>- RLF occurrence prediction accuracy.</w:t>
      </w:r>
    </w:p>
    <w:p w:rsidR="00066E7B" w:rsidRDefault="00066E7B">
      <w:pPr>
        <w:ind w:firstLine="420"/>
        <w:rPr>
          <w:szCs w:val="20"/>
        </w:rPr>
      </w:pPr>
    </w:p>
    <w:p w:rsidR="00066E7B" w:rsidRDefault="00211624">
      <w:pPr>
        <w:outlineLvl w:val="1"/>
        <w:rPr>
          <w:rFonts w:ascii="Arial" w:hAnsi="Arial" w:cs="Arial"/>
          <w:sz w:val="24"/>
        </w:rPr>
      </w:pPr>
      <w:r>
        <w:rPr>
          <w:rFonts w:ascii="Arial" w:hAnsi="Arial" w:cs="Arial" w:hint="eastAsia"/>
          <w:sz w:val="24"/>
        </w:rPr>
        <w:t>2.2 Handover failure prediction</w:t>
      </w:r>
    </w:p>
    <w:p w:rsidR="00066E7B" w:rsidRDefault="00211624">
      <w:r>
        <w:rPr>
          <w:rFonts w:hint="eastAsia"/>
        </w:rPr>
        <w:t>Based on the SID and RAN conclusion, the existing L3 mobility framework will be followed, meaning that the handover decision is always made by the network. As long as the network sends the HO Command to UE, the UE can only trigger RRC re-establishment if the HO attempt fails. So, sending the HO failure prediction result after receiving HO Command does not help improve mobility performance; It would be even stranger to send the HO failure prediction results to the network before the HO Command, because the UE does not know which cell will be selected as handover target cell and the UE also does not know when handover will be triggered by the network. Therefore, the usage of HO failure prediction is unclear.</w:t>
      </w:r>
    </w:p>
    <w:p w:rsidR="00066E7B" w:rsidRDefault="00211624">
      <w:pPr>
        <w:rPr>
          <w:b/>
          <w:bCs/>
        </w:rPr>
      </w:pPr>
      <w:r>
        <w:rPr>
          <w:rFonts w:hint="eastAsia"/>
          <w:b/>
          <w:bCs/>
        </w:rPr>
        <w:t>Observation 3: The usage of HO failure prediction is unclear.</w:t>
      </w:r>
      <w:r w:rsidR="00C94B10">
        <w:rPr>
          <w:b/>
          <w:bCs/>
        </w:rPr>
        <w:t xml:space="preserve"> No matter HO failure prediction report is sent before or later than Handover </w:t>
      </w:r>
      <w:r w:rsidR="008E496B">
        <w:rPr>
          <w:b/>
          <w:bCs/>
        </w:rPr>
        <w:t>C</w:t>
      </w:r>
      <w:r w:rsidR="00C94B10">
        <w:rPr>
          <w:b/>
          <w:bCs/>
        </w:rPr>
        <w:t>ommand, it does not help.</w:t>
      </w:r>
    </w:p>
    <w:p w:rsidR="00066E7B" w:rsidRDefault="00211624">
      <w:r>
        <w:rPr>
          <w:rFonts w:hint="eastAsia"/>
        </w:rPr>
        <w:t>Besides, how to model HO failure pred</w:t>
      </w:r>
      <w:bookmarkStart w:id="2" w:name="_GoBack"/>
      <w:bookmarkEnd w:id="2"/>
      <w:r>
        <w:rPr>
          <w:rFonts w:hint="eastAsia"/>
        </w:rPr>
        <w:t>iction is also unclear. There is a suggestion to reuse the HO failure modelling defined in TR 36.839. However, in our view, this model can be used to evaluate the prediction performance, but it</w:t>
      </w:r>
      <w:r>
        <w:t>’</w:t>
      </w:r>
      <w:r>
        <w:rPr>
          <w:rFonts w:hint="eastAsia"/>
        </w:rPr>
        <w:t>s not applicable for HO failure prediction. The HO failure model provided in TR 36.839 includes the following two cases:</w:t>
      </w:r>
    </w:p>
    <w:p w:rsidR="00066E7B" w:rsidRDefault="00211624">
      <w:r>
        <w:rPr>
          <w:rFonts w:hint="eastAsia"/>
        </w:rPr>
        <w:t xml:space="preserve">Case 1: </w:t>
      </w:r>
      <w:r>
        <w:t>Timer T310 has been triggered or is running when the HO_CMD is received by the UE</w:t>
      </w:r>
      <w:r>
        <w:rPr>
          <w:rFonts w:hint="eastAsia"/>
        </w:rPr>
        <w:t>;</w:t>
      </w:r>
    </w:p>
    <w:p w:rsidR="00066E7B" w:rsidRDefault="00211624">
      <w:pPr>
        <w:rPr>
          <w:color w:val="0000FF"/>
        </w:rPr>
      </w:pPr>
      <w:r>
        <w:rPr>
          <w:rFonts w:hint="eastAsia"/>
        </w:rPr>
        <w:t xml:space="preserve">Case 2: </w:t>
      </w:r>
      <w:r>
        <w:t xml:space="preserve">RLF is declared </w:t>
      </w:r>
      <w:r>
        <w:rPr>
          <w:rFonts w:hint="eastAsia"/>
        </w:rPr>
        <w:t>after the event A3 entering condition but before the handover command is successfully received by the UE.</w:t>
      </w:r>
    </w:p>
    <w:p w:rsidR="00066E7B" w:rsidRDefault="00211624">
      <w:r>
        <w:rPr>
          <w:rFonts w:hint="eastAsia"/>
        </w:rPr>
        <w:t xml:space="preserve">Case 1 does not help improve mobility performance, since handover command has already been sent to the UE and the UE can only trigger RRC re-establishment if HO attempt fails. Case 2 can be considered as a part of RLF prediction because the measurement event has not been triggered. Therefore, in our understanding, </w:t>
      </w:r>
      <w:r>
        <w:t>“</w:t>
      </w:r>
      <w:r>
        <w:rPr>
          <w:rFonts w:hint="eastAsia"/>
        </w:rPr>
        <w:t>Handover failure</w:t>
      </w:r>
      <w:r>
        <w:t>”</w:t>
      </w:r>
      <w:r>
        <w:rPr>
          <w:rFonts w:hint="eastAsia"/>
        </w:rPr>
        <w:t xml:space="preserve"> can be considered as one of performance KPI when evaluating the benefit of AI/ML for mobility (in this case, the modelling defined in TR 36.839 can be reused), but no need to study </w:t>
      </w:r>
      <w:r>
        <w:t>“</w:t>
      </w:r>
      <w:r>
        <w:rPr>
          <w:rFonts w:hint="eastAsia"/>
        </w:rPr>
        <w:t>handover failure prediction</w:t>
      </w:r>
      <w:r>
        <w:t>”</w:t>
      </w:r>
      <w:r>
        <w:rPr>
          <w:rFonts w:hint="eastAsia"/>
        </w:rPr>
        <w:t xml:space="preserve"> in the UE-sided model. </w:t>
      </w:r>
    </w:p>
    <w:p w:rsidR="00066E7B" w:rsidRDefault="00211624">
      <w:pPr>
        <w:rPr>
          <w:b/>
          <w:bCs/>
        </w:rPr>
      </w:pPr>
      <w:r>
        <w:rPr>
          <w:rFonts w:hint="eastAsia"/>
          <w:b/>
          <w:bCs/>
        </w:rPr>
        <w:t>Observation 4: The modelling of handover failure prediction is unclear.</w:t>
      </w:r>
    </w:p>
    <w:p w:rsidR="00066E7B" w:rsidRDefault="00211624">
      <w:pPr>
        <w:rPr>
          <w:b/>
          <w:bCs/>
        </w:rPr>
      </w:pPr>
      <w:r>
        <w:rPr>
          <w:rFonts w:hint="eastAsia"/>
          <w:b/>
          <w:bCs/>
        </w:rPr>
        <w:t xml:space="preserve">Proposal </w:t>
      </w:r>
      <w:r w:rsidR="00447917">
        <w:rPr>
          <w:b/>
          <w:bCs/>
        </w:rPr>
        <w:t>5</w:t>
      </w:r>
      <w:r>
        <w:rPr>
          <w:rFonts w:hint="eastAsia"/>
          <w:b/>
          <w:bCs/>
        </w:rPr>
        <w:t xml:space="preserve">: No need to study </w:t>
      </w:r>
      <w:r>
        <w:rPr>
          <w:b/>
          <w:bCs/>
        </w:rPr>
        <w:t>‘</w:t>
      </w:r>
      <w:r>
        <w:rPr>
          <w:rFonts w:hint="eastAsia"/>
          <w:b/>
          <w:bCs/>
        </w:rPr>
        <w:t>handover failure prediction</w:t>
      </w:r>
      <w:r>
        <w:rPr>
          <w:b/>
          <w:bCs/>
        </w:rPr>
        <w:t>’</w:t>
      </w:r>
      <w:r>
        <w:rPr>
          <w:rFonts w:hint="eastAsia"/>
          <w:b/>
          <w:bCs/>
        </w:rPr>
        <w:t xml:space="preserve"> in the UE sided model, it can be considered as part of RLF prediction.</w:t>
      </w:r>
    </w:p>
    <w:p w:rsidR="00066E7B" w:rsidRDefault="00066E7B">
      <w:pPr>
        <w:rPr>
          <w:b/>
          <w:bCs/>
        </w:rPr>
      </w:pPr>
    </w:p>
    <w:p w:rsidR="00066E7B" w:rsidRDefault="0021162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66E7B" w:rsidRDefault="00211624">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Pr>
          <w:rFonts w:eastAsiaTheme="minorEastAsia" w:hint="eastAsia"/>
          <w:kern w:val="2"/>
          <w:sz w:val="20"/>
          <w:lang w:val="en-US" w:eastAsia="zh-CN"/>
        </w:rPr>
        <w:t>observations and proposals</w:t>
      </w:r>
      <w:r>
        <w:rPr>
          <w:rFonts w:eastAsiaTheme="minorEastAsia"/>
          <w:kern w:val="2"/>
          <w:sz w:val="20"/>
          <w:lang w:val="en-US" w:eastAsia="zh-CN"/>
        </w:rPr>
        <w:t>:</w:t>
      </w:r>
    </w:p>
    <w:p w:rsidR="00066E7B" w:rsidRDefault="00211624">
      <w:pPr>
        <w:rPr>
          <w:b/>
          <w:bCs/>
          <w:szCs w:val="20"/>
        </w:rPr>
      </w:pPr>
      <w:r>
        <w:rPr>
          <w:rFonts w:hint="eastAsia"/>
          <w:b/>
          <w:bCs/>
          <w:szCs w:val="20"/>
        </w:rPr>
        <w:t>Observation 1: The benefit of spatial domain measurement prediction is limited in the RLF prediction.</w:t>
      </w:r>
    </w:p>
    <w:p w:rsidR="00066E7B" w:rsidRDefault="00211624">
      <w:pPr>
        <w:rPr>
          <w:b/>
          <w:bCs/>
          <w:szCs w:val="20"/>
        </w:rPr>
      </w:pPr>
      <w:r>
        <w:rPr>
          <w:rFonts w:hint="eastAsia"/>
          <w:b/>
          <w:bCs/>
          <w:szCs w:val="20"/>
        </w:rPr>
        <w:t>Observation 2: With temporal domain measurement prediction, some measures can be taken to avoid RLF occurrence.</w:t>
      </w:r>
    </w:p>
    <w:p w:rsidR="00066E7B" w:rsidRDefault="00211624">
      <w:pPr>
        <w:rPr>
          <w:b/>
          <w:bCs/>
        </w:rPr>
      </w:pPr>
      <w:r>
        <w:rPr>
          <w:rFonts w:hint="eastAsia"/>
          <w:b/>
          <w:bCs/>
        </w:rPr>
        <w:t>Observation 3: The usage of HO failure prediction is unclear.</w:t>
      </w:r>
      <w:r w:rsidR="00C94B10">
        <w:rPr>
          <w:b/>
          <w:bCs/>
        </w:rPr>
        <w:t xml:space="preserve"> No matter HO failure prediction report is sent before or later than Handover </w:t>
      </w:r>
      <w:r w:rsidR="008E496B">
        <w:rPr>
          <w:b/>
          <w:bCs/>
        </w:rPr>
        <w:t>C</w:t>
      </w:r>
      <w:r w:rsidR="00C94B10">
        <w:rPr>
          <w:b/>
          <w:bCs/>
        </w:rPr>
        <w:t>ommand, it does not help.</w:t>
      </w:r>
    </w:p>
    <w:p w:rsidR="00066E7B" w:rsidRDefault="00211624">
      <w:pPr>
        <w:rPr>
          <w:b/>
          <w:bCs/>
        </w:rPr>
      </w:pPr>
      <w:r>
        <w:rPr>
          <w:rFonts w:hint="eastAsia"/>
          <w:b/>
          <w:bCs/>
        </w:rPr>
        <w:t>Observation 4: The modelling of handover failure prediction is unclear.</w:t>
      </w:r>
    </w:p>
    <w:p w:rsidR="00066E7B" w:rsidRDefault="00066E7B">
      <w:pPr>
        <w:rPr>
          <w:b/>
          <w:bCs/>
          <w:szCs w:val="20"/>
        </w:rPr>
      </w:pPr>
    </w:p>
    <w:p w:rsidR="00066E7B" w:rsidRDefault="00211624">
      <w:pPr>
        <w:rPr>
          <w:b/>
          <w:bCs/>
          <w:szCs w:val="20"/>
        </w:rPr>
      </w:pPr>
      <w:r>
        <w:rPr>
          <w:rFonts w:hint="eastAsia"/>
          <w:b/>
          <w:bCs/>
          <w:szCs w:val="20"/>
        </w:rPr>
        <w:t>Proposal 1: Only temporal domain prediction is considered in the RLF prediction.</w:t>
      </w:r>
    </w:p>
    <w:p w:rsidR="00066E7B" w:rsidRDefault="00211624">
      <w:pPr>
        <w:rPr>
          <w:b/>
          <w:bCs/>
          <w:szCs w:val="20"/>
        </w:rPr>
      </w:pPr>
      <w:r>
        <w:rPr>
          <w:rFonts w:hint="eastAsia"/>
          <w:b/>
          <w:bCs/>
          <w:szCs w:val="20"/>
        </w:rPr>
        <w:lastRenderedPageBreak/>
        <w:t xml:space="preserve">Proposal 2: For RLF prediction, the UE </w:t>
      </w:r>
      <w:r w:rsidR="00C94B10">
        <w:rPr>
          <w:b/>
          <w:bCs/>
          <w:szCs w:val="20"/>
        </w:rPr>
        <w:t xml:space="preserve">first </w:t>
      </w:r>
      <w:r>
        <w:rPr>
          <w:rFonts w:hint="eastAsia"/>
          <w:b/>
          <w:bCs/>
          <w:szCs w:val="20"/>
        </w:rPr>
        <w:t xml:space="preserve">predicts the </w:t>
      </w:r>
      <w:r w:rsidR="00C94B10">
        <w:rPr>
          <w:b/>
          <w:bCs/>
          <w:szCs w:val="20"/>
        </w:rPr>
        <w:t xml:space="preserve">future </w:t>
      </w:r>
      <w:r>
        <w:rPr>
          <w:rFonts w:hint="eastAsia"/>
          <w:b/>
          <w:bCs/>
          <w:szCs w:val="20"/>
        </w:rPr>
        <w:t>SINR value of RLM RS</w:t>
      </w:r>
      <w:r w:rsidR="00C94B10">
        <w:rPr>
          <w:b/>
          <w:bCs/>
          <w:szCs w:val="20"/>
        </w:rPr>
        <w:t xml:space="preserve"> based on historical SINR results</w:t>
      </w:r>
      <w:r>
        <w:rPr>
          <w:rFonts w:hint="eastAsia"/>
          <w:b/>
          <w:bCs/>
          <w:szCs w:val="20"/>
        </w:rPr>
        <w:t>, and then predicts whether the RLF would occur based on the predicted SINR results.</w:t>
      </w:r>
    </w:p>
    <w:p w:rsidR="00447917" w:rsidRDefault="00447917" w:rsidP="00447917">
      <w:pPr>
        <w:rPr>
          <w:b/>
          <w:bCs/>
          <w:szCs w:val="20"/>
        </w:rPr>
      </w:pPr>
      <w:r>
        <w:rPr>
          <w:rFonts w:hint="eastAsia"/>
          <w:b/>
          <w:bCs/>
          <w:szCs w:val="20"/>
        </w:rPr>
        <w:t xml:space="preserve">Proposal 3: </w:t>
      </w:r>
      <w:r>
        <w:rPr>
          <w:b/>
          <w:bCs/>
          <w:szCs w:val="20"/>
        </w:rPr>
        <w:t>Reuse the simulation parameters in TR 36.839 Table 5.2.1.3.1 for RLF prediction</w:t>
      </w:r>
      <w:r>
        <w:rPr>
          <w:rFonts w:hint="eastAsia"/>
          <w:b/>
          <w:bCs/>
          <w:szCs w:val="20"/>
        </w:rPr>
        <w:t>:</w:t>
      </w:r>
    </w:p>
    <w:p w:rsidR="00447917" w:rsidRDefault="00447917" w:rsidP="00447917">
      <w:pPr>
        <w:ind w:firstLine="420"/>
        <w:rPr>
          <w:b/>
          <w:bCs/>
          <w:szCs w:val="20"/>
        </w:rPr>
      </w:pPr>
      <w:r>
        <w:rPr>
          <w:rFonts w:hint="eastAsia"/>
          <w:b/>
          <w:bCs/>
          <w:szCs w:val="20"/>
        </w:rPr>
        <w:t xml:space="preserve">- </w:t>
      </w:r>
      <w:proofErr w:type="spellStart"/>
      <w:r>
        <w:rPr>
          <w:b/>
          <w:bCs/>
          <w:szCs w:val="20"/>
        </w:rPr>
        <w:t>Qout</w:t>
      </w:r>
      <w:proofErr w:type="spellEnd"/>
      <w:r>
        <w:rPr>
          <w:b/>
          <w:bCs/>
          <w:szCs w:val="20"/>
        </w:rPr>
        <w:t xml:space="preserve"> = -8dB, Qin = -6dB</w:t>
      </w:r>
      <w:r>
        <w:rPr>
          <w:rFonts w:hint="eastAsia"/>
          <w:b/>
          <w:bCs/>
          <w:szCs w:val="20"/>
        </w:rPr>
        <w:t>;</w:t>
      </w:r>
    </w:p>
    <w:p w:rsidR="00447917" w:rsidRPr="003F0D7A" w:rsidRDefault="00447917" w:rsidP="00447917">
      <w:pPr>
        <w:ind w:firstLine="420"/>
        <w:rPr>
          <w:b/>
          <w:bCs/>
          <w:szCs w:val="20"/>
        </w:rPr>
      </w:pPr>
      <w:r>
        <w:rPr>
          <w:rFonts w:hint="eastAsia"/>
          <w:b/>
          <w:bCs/>
          <w:szCs w:val="20"/>
        </w:rPr>
        <w:t>-</w:t>
      </w:r>
      <w:r>
        <w:rPr>
          <w:b/>
          <w:bCs/>
          <w:szCs w:val="20"/>
        </w:rPr>
        <w:t xml:space="preserve"> T310=1s, N310=1, N311=1.</w:t>
      </w:r>
    </w:p>
    <w:p w:rsidR="00066E7B" w:rsidRDefault="00211624">
      <w:pPr>
        <w:rPr>
          <w:b/>
          <w:bCs/>
          <w:szCs w:val="20"/>
        </w:rPr>
      </w:pPr>
      <w:r>
        <w:rPr>
          <w:rFonts w:hint="eastAsia"/>
          <w:b/>
          <w:bCs/>
          <w:szCs w:val="20"/>
        </w:rPr>
        <w:t xml:space="preserve">Proposal </w:t>
      </w:r>
      <w:r w:rsidR="00447917">
        <w:rPr>
          <w:b/>
          <w:bCs/>
          <w:szCs w:val="20"/>
        </w:rPr>
        <w:t>4</w:t>
      </w:r>
      <w:r>
        <w:rPr>
          <w:rFonts w:hint="eastAsia"/>
          <w:b/>
          <w:bCs/>
          <w:szCs w:val="20"/>
        </w:rPr>
        <w:t>: Regarding RLF prediction simulation evaluation, consider the following KPI:</w:t>
      </w:r>
    </w:p>
    <w:p w:rsidR="00066E7B" w:rsidRDefault="00211624">
      <w:pPr>
        <w:ind w:firstLine="420"/>
        <w:rPr>
          <w:b/>
          <w:bCs/>
          <w:szCs w:val="20"/>
        </w:rPr>
      </w:pPr>
      <w:r>
        <w:rPr>
          <w:rFonts w:hint="eastAsia"/>
          <w:b/>
          <w:bCs/>
          <w:szCs w:val="20"/>
        </w:rPr>
        <w:t>- SINR prediction accuracy;</w:t>
      </w:r>
    </w:p>
    <w:p w:rsidR="00066E7B" w:rsidRDefault="00211624">
      <w:pPr>
        <w:ind w:firstLine="420"/>
        <w:rPr>
          <w:b/>
          <w:bCs/>
          <w:szCs w:val="20"/>
        </w:rPr>
      </w:pPr>
      <w:r>
        <w:rPr>
          <w:rFonts w:hint="eastAsia"/>
          <w:b/>
          <w:bCs/>
          <w:szCs w:val="20"/>
        </w:rPr>
        <w:t>- RLF occurrence prediction accuracy.</w:t>
      </w:r>
    </w:p>
    <w:p w:rsidR="00066E7B" w:rsidRDefault="00211624">
      <w:pPr>
        <w:rPr>
          <w:b/>
          <w:bCs/>
        </w:rPr>
      </w:pPr>
      <w:r>
        <w:rPr>
          <w:rFonts w:hint="eastAsia"/>
          <w:b/>
          <w:bCs/>
        </w:rPr>
        <w:t xml:space="preserve">Proposal </w:t>
      </w:r>
      <w:r w:rsidR="00447917">
        <w:rPr>
          <w:b/>
          <w:bCs/>
        </w:rPr>
        <w:t>5</w:t>
      </w:r>
      <w:r>
        <w:rPr>
          <w:rFonts w:hint="eastAsia"/>
          <w:b/>
          <w:bCs/>
        </w:rPr>
        <w:t xml:space="preserve">: No need to study </w:t>
      </w:r>
      <w:r>
        <w:rPr>
          <w:b/>
          <w:bCs/>
        </w:rPr>
        <w:t>‘</w:t>
      </w:r>
      <w:r>
        <w:rPr>
          <w:rFonts w:hint="eastAsia"/>
          <w:b/>
          <w:bCs/>
        </w:rPr>
        <w:t>handover failure prediction</w:t>
      </w:r>
      <w:r>
        <w:rPr>
          <w:b/>
          <w:bCs/>
        </w:rPr>
        <w:t>’</w:t>
      </w:r>
      <w:r>
        <w:rPr>
          <w:rFonts w:hint="eastAsia"/>
          <w:b/>
          <w:bCs/>
        </w:rPr>
        <w:t xml:space="preserve"> in the UE sided model, it can be considered as part of RLF prediction.</w:t>
      </w:r>
    </w:p>
    <w:p w:rsidR="00066E7B" w:rsidRDefault="0021162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066E7B" w:rsidRDefault="00211624">
      <w:pPr>
        <w:tabs>
          <w:tab w:val="left" w:pos="312"/>
        </w:tabs>
        <w:rPr>
          <w:rFonts w:eastAsia="Microsoft YaHei UI"/>
          <w:color w:val="000000"/>
        </w:rPr>
      </w:pPr>
      <w:r>
        <w:rPr>
          <w:rFonts w:eastAsia="Microsoft YaHei UI" w:hint="eastAsia"/>
          <w:color w:val="000000"/>
        </w:rPr>
        <w:t xml:space="preserve">[1] RP-234055 Study on AI (Artificial Intelligence)/ML (Machine Learning) for mobility in NR, </w:t>
      </w:r>
      <w:r>
        <w:rPr>
          <w:szCs w:val="32"/>
          <w:lang w:val="fr-FR"/>
        </w:rPr>
        <w:t>FS_NR_AIML_Mob</w:t>
      </w:r>
    </w:p>
    <w:sectPr w:rsidR="00066E7B">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F2E" w:rsidRDefault="00E95F2E">
      <w:pPr>
        <w:spacing w:after="0"/>
      </w:pPr>
      <w:r>
        <w:separator/>
      </w:r>
    </w:p>
  </w:endnote>
  <w:endnote w:type="continuationSeparator" w:id="0">
    <w:p w:rsidR="00E95F2E" w:rsidRDefault="00E95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351" w:rsidRDefault="00611351">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E7B" w:rsidRDefault="00066E7B">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351" w:rsidRDefault="0061135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F2E" w:rsidRDefault="00E95F2E">
      <w:pPr>
        <w:spacing w:after="0"/>
      </w:pPr>
      <w:r>
        <w:separator/>
      </w:r>
    </w:p>
  </w:footnote>
  <w:footnote w:type="continuationSeparator" w:id="0">
    <w:p w:rsidR="00E95F2E" w:rsidRDefault="00E95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351" w:rsidRDefault="00611351">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E7B" w:rsidRDefault="00066E7B">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351" w:rsidRDefault="0061135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1355A4"/>
    <w:multiLevelType w:val="multilevel"/>
    <w:tmpl w:val="811355A4"/>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089F5D1"/>
    <w:multiLevelType w:val="singleLevel"/>
    <w:tmpl w:val="2089F5D1"/>
    <w:lvl w:ilvl="0">
      <w:start w:val="1"/>
      <w:numFmt w:val="bullet"/>
      <w:lvlText w:val=""/>
      <w:lvlJc w:val="left"/>
      <w:pPr>
        <w:ind w:left="42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5"/>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6E7B"/>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625"/>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08A"/>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1624"/>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780"/>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0D7A"/>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47917"/>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A632B"/>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1351"/>
    <w:rsid w:val="00611F82"/>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18C1"/>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496B"/>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3AB8"/>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10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4B10"/>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06EC5"/>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95F2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5769"/>
    <w:rsid w:val="00EE5CA6"/>
    <w:rsid w:val="00EE6916"/>
    <w:rsid w:val="00EF1335"/>
    <w:rsid w:val="00EF1557"/>
    <w:rsid w:val="00EF4AE0"/>
    <w:rsid w:val="00EF6FA1"/>
    <w:rsid w:val="00F012FF"/>
    <w:rsid w:val="00F01A21"/>
    <w:rsid w:val="00F028FA"/>
    <w:rsid w:val="00F046E9"/>
    <w:rsid w:val="00F04831"/>
    <w:rsid w:val="00F07202"/>
    <w:rsid w:val="00F10428"/>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A79FA"/>
    <w:rsid w:val="017E2AF4"/>
    <w:rsid w:val="01831A44"/>
    <w:rsid w:val="01843ADB"/>
    <w:rsid w:val="01845F4F"/>
    <w:rsid w:val="018E4EF8"/>
    <w:rsid w:val="0198159D"/>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1681B"/>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C0E72"/>
    <w:rsid w:val="043E3BD3"/>
    <w:rsid w:val="043E49F0"/>
    <w:rsid w:val="04451713"/>
    <w:rsid w:val="044649A9"/>
    <w:rsid w:val="044838E4"/>
    <w:rsid w:val="04484ED0"/>
    <w:rsid w:val="04491DAE"/>
    <w:rsid w:val="044B3C96"/>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BA6319"/>
    <w:rsid w:val="06D25393"/>
    <w:rsid w:val="06D37910"/>
    <w:rsid w:val="06D5029F"/>
    <w:rsid w:val="06D538C3"/>
    <w:rsid w:val="06D73D91"/>
    <w:rsid w:val="06E36D26"/>
    <w:rsid w:val="06E53061"/>
    <w:rsid w:val="06E728E4"/>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665FB"/>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C522E5"/>
    <w:rsid w:val="09D13662"/>
    <w:rsid w:val="09D83653"/>
    <w:rsid w:val="09E1487C"/>
    <w:rsid w:val="09E532A9"/>
    <w:rsid w:val="09E674F4"/>
    <w:rsid w:val="09FF11BF"/>
    <w:rsid w:val="09FF42FB"/>
    <w:rsid w:val="0A057425"/>
    <w:rsid w:val="0A073C4C"/>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4B0957"/>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A5CD7"/>
    <w:rsid w:val="0CFF1F19"/>
    <w:rsid w:val="0D064EBC"/>
    <w:rsid w:val="0D083FB4"/>
    <w:rsid w:val="0D0C1474"/>
    <w:rsid w:val="0D127DE7"/>
    <w:rsid w:val="0D1955FA"/>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44A2E"/>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DB3B9F"/>
    <w:rsid w:val="0DDD667E"/>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AF22B1"/>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20C86"/>
    <w:rsid w:val="0F4340EF"/>
    <w:rsid w:val="0F5C4968"/>
    <w:rsid w:val="0F5D0D44"/>
    <w:rsid w:val="0F5F1287"/>
    <w:rsid w:val="0F657D36"/>
    <w:rsid w:val="0F685729"/>
    <w:rsid w:val="0F70152C"/>
    <w:rsid w:val="0F70662F"/>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8F0C8A"/>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5F2432"/>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2310A"/>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6A1046"/>
    <w:rsid w:val="137061F4"/>
    <w:rsid w:val="13724BCB"/>
    <w:rsid w:val="13755B7C"/>
    <w:rsid w:val="13762DF4"/>
    <w:rsid w:val="13773724"/>
    <w:rsid w:val="137E4D5D"/>
    <w:rsid w:val="137F385C"/>
    <w:rsid w:val="13834031"/>
    <w:rsid w:val="1384235E"/>
    <w:rsid w:val="1388454B"/>
    <w:rsid w:val="13933000"/>
    <w:rsid w:val="139C112D"/>
    <w:rsid w:val="139D669D"/>
    <w:rsid w:val="13A32451"/>
    <w:rsid w:val="13A35114"/>
    <w:rsid w:val="13A54AE5"/>
    <w:rsid w:val="13AD4C79"/>
    <w:rsid w:val="13B951C8"/>
    <w:rsid w:val="13C55ECF"/>
    <w:rsid w:val="13C57211"/>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947EE"/>
    <w:rsid w:val="140A315A"/>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B545D"/>
    <w:rsid w:val="14AC7E2F"/>
    <w:rsid w:val="14B115C2"/>
    <w:rsid w:val="14B31C8B"/>
    <w:rsid w:val="14B8138D"/>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22FCB"/>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270E8"/>
    <w:rsid w:val="1585047B"/>
    <w:rsid w:val="1586427B"/>
    <w:rsid w:val="15883A02"/>
    <w:rsid w:val="158A40C8"/>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85897"/>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0C2C5F"/>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61201"/>
    <w:rsid w:val="18AA0BE4"/>
    <w:rsid w:val="18AE29E9"/>
    <w:rsid w:val="18AF74E1"/>
    <w:rsid w:val="18BD2BD4"/>
    <w:rsid w:val="18C85005"/>
    <w:rsid w:val="18CB0EA6"/>
    <w:rsid w:val="18CE23FD"/>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43688"/>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C2F18"/>
    <w:rsid w:val="1A5E793D"/>
    <w:rsid w:val="1A604F08"/>
    <w:rsid w:val="1A61483A"/>
    <w:rsid w:val="1A642665"/>
    <w:rsid w:val="1A652FB1"/>
    <w:rsid w:val="1A684D76"/>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955DB"/>
    <w:rsid w:val="1ABB1DB6"/>
    <w:rsid w:val="1AC00A4A"/>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06C5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575B0"/>
    <w:rsid w:val="1DAC6707"/>
    <w:rsid w:val="1DAD7F21"/>
    <w:rsid w:val="1DAF588A"/>
    <w:rsid w:val="1DB337BF"/>
    <w:rsid w:val="1DB71622"/>
    <w:rsid w:val="1DB81343"/>
    <w:rsid w:val="1DBB0448"/>
    <w:rsid w:val="1DBB2F31"/>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76FDF"/>
    <w:rsid w:val="1E5A048F"/>
    <w:rsid w:val="1E5F399D"/>
    <w:rsid w:val="1E635E68"/>
    <w:rsid w:val="1E654057"/>
    <w:rsid w:val="1E66096F"/>
    <w:rsid w:val="1E664171"/>
    <w:rsid w:val="1E693660"/>
    <w:rsid w:val="1E6C78DA"/>
    <w:rsid w:val="1E6D3344"/>
    <w:rsid w:val="1E7029FE"/>
    <w:rsid w:val="1E705BB1"/>
    <w:rsid w:val="1E7463AC"/>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834DB"/>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C2E20"/>
    <w:rsid w:val="200F4543"/>
    <w:rsid w:val="201209AE"/>
    <w:rsid w:val="20180408"/>
    <w:rsid w:val="20187359"/>
    <w:rsid w:val="2021456B"/>
    <w:rsid w:val="20216F03"/>
    <w:rsid w:val="202A6471"/>
    <w:rsid w:val="202B0701"/>
    <w:rsid w:val="203043CC"/>
    <w:rsid w:val="20340B62"/>
    <w:rsid w:val="20400535"/>
    <w:rsid w:val="204236FB"/>
    <w:rsid w:val="204300A0"/>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01B60"/>
    <w:rsid w:val="21143DB6"/>
    <w:rsid w:val="21157E81"/>
    <w:rsid w:val="211635DD"/>
    <w:rsid w:val="211C305E"/>
    <w:rsid w:val="21213BBE"/>
    <w:rsid w:val="21270AE3"/>
    <w:rsid w:val="21284941"/>
    <w:rsid w:val="21291391"/>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2B0227"/>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E1D51"/>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02237"/>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B2B68"/>
    <w:rsid w:val="240C2DF8"/>
    <w:rsid w:val="241042A7"/>
    <w:rsid w:val="2413152E"/>
    <w:rsid w:val="241D53E4"/>
    <w:rsid w:val="242C08EA"/>
    <w:rsid w:val="242C6363"/>
    <w:rsid w:val="242D503F"/>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39E9"/>
    <w:rsid w:val="24F96E47"/>
    <w:rsid w:val="24FF2754"/>
    <w:rsid w:val="25015AA7"/>
    <w:rsid w:val="25031E0F"/>
    <w:rsid w:val="250B6210"/>
    <w:rsid w:val="250D0E07"/>
    <w:rsid w:val="250F45ED"/>
    <w:rsid w:val="25192C01"/>
    <w:rsid w:val="251D6C78"/>
    <w:rsid w:val="251E5D62"/>
    <w:rsid w:val="25214DA7"/>
    <w:rsid w:val="252715DB"/>
    <w:rsid w:val="25327DA7"/>
    <w:rsid w:val="253A43FD"/>
    <w:rsid w:val="25477533"/>
    <w:rsid w:val="25486726"/>
    <w:rsid w:val="25493BC7"/>
    <w:rsid w:val="254F48B6"/>
    <w:rsid w:val="25515BCE"/>
    <w:rsid w:val="25552025"/>
    <w:rsid w:val="25552E35"/>
    <w:rsid w:val="255A7B49"/>
    <w:rsid w:val="255D7234"/>
    <w:rsid w:val="25616305"/>
    <w:rsid w:val="256205EF"/>
    <w:rsid w:val="25634D21"/>
    <w:rsid w:val="25734CB2"/>
    <w:rsid w:val="25735ABC"/>
    <w:rsid w:val="25736D19"/>
    <w:rsid w:val="25756E19"/>
    <w:rsid w:val="25781361"/>
    <w:rsid w:val="257A0F75"/>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A4D3A"/>
    <w:rsid w:val="265E6D7F"/>
    <w:rsid w:val="26607A60"/>
    <w:rsid w:val="266C565E"/>
    <w:rsid w:val="266C6465"/>
    <w:rsid w:val="26726C3B"/>
    <w:rsid w:val="267760E5"/>
    <w:rsid w:val="26777CBA"/>
    <w:rsid w:val="2680516D"/>
    <w:rsid w:val="2683318D"/>
    <w:rsid w:val="268550BF"/>
    <w:rsid w:val="26895BB9"/>
    <w:rsid w:val="268D680A"/>
    <w:rsid w:val="268F1279"/>
    <w:rsid w:val="268F6549"/>
    <w:rsid w:val="268F763B"/>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53671"/>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08797F"/>
    <w:rsid w:val="29120D85"/>
    <w:rsid w:val="291252B8"/>
    <w:rsid w:val="29146D0D"/>
    <w:rsid w:val="29167EFF"/>
    <w:rsid w:val="291A7261"/>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336D6"/>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54DD5"/>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3552EC"/>
    <w:rsid w:val="2B374C7F"/>
    <w:rsid w:val="2B3B2F4D"/>
    <w:rsid w:val="2B3F420A"/>
    <w:rsid w:val="2B420A18"/>
    <w:rsid w:val="2B4253CB"/>
    <w:rsid w:val="2B4C0C09"/>
    <w:rsid w:val="2B4C5398"/>
    <w:rsid w:val="2B510311"/>
    <w:rsid w:val="2B512AA4"/>
    <w:rsid w:val="2B593E95"/>
    <w:rsid w:val="2B5C1D9A"/>
    <w:rsid w:val="2B5E52C8"/>
    <w:rsid w:val="2B61092F"/>
    <w:rsid w:val="2B67502E"/>
    <w:rsid w:val="2B681F2A"/>
    <w:rsid w:val="2B6B61D2"/>
    <w:rsid w:val="2B6D2024"/>
    <w:rsid w:val="2B73625C"/>
    <w:rsid w:val="2B7D13CC"/>
    <w:rsid w:val="2B886CA9"/>
    <w:rsid w:val="2B91470F"/>
    <w:rsid w:val="2B9540F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2750E"/>
    <w:rsid w:val="2C24268E"/>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7936E3"/>
    <w:rsid w:val="2C80786E"/>
    <w:rsid w:val="2C842B4B"/>
    <w:rsid w:val="2C8B406A"/>
    <w:rsid w:val="2C8F64C9"/>
    <w:rsid w:val="2C971CED"/>
    <w:rsid w:val="2CA305D6"/>
    <w:rsid w:val="2CA45E44"/>
    <w:rsid w:val="2CA5124F"/>
    <w:rsid w:val="2CA846E4"/>
    <w:rsid w:val="2CAF4B9B"/>
    <w:rsid w:val="2CBC0E27"/>
    <w:rsid w:val="2CBE1CB5"/>
    <w:rsid w:val="2CC03F97"/>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51455"/>
    <w:rsid w:val="2D466457"/>
    <w:rsid w:val="2D4C34A4"/>
    <w:rsid w:val="2D4E61DE"/>
    <w:rsid w:val="2D4E78E7"/>
    <w:rsid w:val="2D511434"/>
    <w:rsid w:val="2D653B78"/>
    <w:rsid w:val="2D65501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2693A"/>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4F0248"/>
    <w:rsid w:val="31525D66"/>
    <w:rsid w:val="315622FC"/>
    <w:rsid w:val="315A30D5"/>
    <w:rsid w:val="315D1164"/>
    <w:rsid w:val="315F2BB6"/>
    <w:rsid w:val="31710BDA"/>
    <w:rsid w:val="3171154A"/>
    <w:rsid w:val="3173104B"/>
    <w:rsid w:val="3175509C"/>
    <w:rsid w:val="317D38B1"/>
    <w:rsid w:val="317D6B35"/>
    <w:rsid w:val="31896956"/>
    <w:rsid w:val="318A2A58"/>
    <w:rsid w:val="318C40DA"/>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07B87"/>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06B09"/>
    <w:rsid w:val="33924A8E"/>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826CCD"/>
    <w:rsid w:val="34902BCC"/>
    <w:rsid w:val="34920EBF"/>
    <w:rsid w:val="34967C84"/>
    <w:rsid w:val="34991975"/>
    <w:rsid w:val="34A07C22"/>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A0742"/>
    <w:rsid w:val="356B1F48"/>
    <w:rsid w:val="357039DD"/>
    <w:rsid w:val="35770DD1"/>
    <w:rsid w:val="357E449C"/>
    <w:rsid w:val="35814DDB"/>
    <w:rsid w:val="3585695C"/>
    <w:rsid w:val="358908DA"/>
    <w:rsid w:val="358B5193"/>
    <w:rsid w:val="358C1995"/>
    <w:rsid w:val="358C303D"/>
    <w:rsid w:val="35906EE4"/>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56FC"/>
    <w:rsid w:val="35E6618B"/>
    <w:rsid w:val="35F017F3"/>
    <w:rsid w:val="35F46A5F"/>
    <w:rsid w:val="35F67E38"/>
    <w:rsid w:val="360229D3"/>
    <w:rsid w:val="36066B0B"/>
    <w:rsid w:val="360E0F35"/>
    <w:rsid w:val="36152D20"/>
    <w:rsid w:val="361E24B7"/>
    <w:rsid w:val="3621762D"/>
    <w:rsid w:val="362A1F0A"/>
    <w:rsid w:val="362B0A87"/>
    <w:rsid w:val="362B46D6"/>
    <w:rsid w:val="36421E64"/>
    <w:rsid w:val="3647150F"/>
    <w:rsid w:val="36475595"/>
    <w:rsid w:val="36487758"/>
    <w:rsid w:val="364936C7"/>
    <w:rsid w:val="364B5632"/>
    <w:rsid w:val="3654745F"/>
    <w:rsid w:val="36582751"/>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24605"/>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B14E8"/>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0DE"/>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71BF4"/>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25164"/>
    <w:rsid w:val="3AEF1480"/>
    <w:rsid w:val="3AF1154B"/>
    <w:rsid w:val="3AF23796"/>
    <w:rsid w:val="3AF41253"/>
    <w:rsid w:val="3AFF67B0"/>
    <w:rsid w:val="3B046F2C"/>
    <w:rsid w:val="3B0652A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D563F"/>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35444"/>
    <w:rsid w:val="3CE575F7"/>
    <w:rsid w:val="3CE95511"/>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1F6F81"/>
    <w:rsid w:val="3D21429B"/>
    <w:rsid w:val="3D231B78"/>
    <w:rsid w:val="3D24407E"/>
    <w:rsid w:val="3D246E5A"/>
    <w:rsid w:val="3D2B7B66"/>
    <w:rsid w:val="3D3056F4"/>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21729"/>
    <w:rsid w:val="3D735ADF"/>
    <w:rsid w:val="3D7433DB"/>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BB6A7D"/>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A080A"/>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63B3C"/>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80069"/>
    <w:rsid w:val="419D64F9"/>
    <w:rsid w:val="41AA5A16"/>
    <w:rsid w:val="41AA6FCA"/>
    <w:rsid w:val="41AF62F6"/>
    <w:rsid w:val="41B069BC"/>
    <w:rsid w:val="41BD575F"/>
    <w:rsid w:val="41CF3ABC"/>
    <w:rsid w:val="41D220C3"/>
    <w:rsid w:val="41E1241B"/>
    <w:rsid w:val="41E31098"/>
    <w:rsid w:val="41E34E33"/>
    <w:rsid w:val="41EA60D8"/>
    <w:rsid w:val="41F06816"/>
    <w:rsid w:val="41F16ECC"/>
    <w:rsid w:val="41F81B0F"/>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F38DF"/>
    <w:rsid w:val="42D42EB8"/>
    <w:rsid w:val="42DC2B30"/>
    <w:rsid w:val="42E21DCD"/>
    <w:rsid w:val="42E765DB"/>
    <w:rsid w:val="42E80F28"/>
    <w:rsid w:val="42EA2638"/>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874F5"/>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D5DAE"/>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9F020F"/>
    <w:rsid w:val="48A35615"/>
    <w:rsid w:val="48B10742"/>
    <w:rsid w:val="48B25AE7"/>
    <w:rsid w:val="48B7568B"/>
    <w:rsid w:val="48BA7770"/>
    <w:rsid w:val="48C71E90"/>
    <w:rsid w:val="48CB5BE4"/>
    <w:rsid w:val="48DA29D4"/>
    <w:rsid w:val="48DD45D3"/>
    <w:rsid w:val="48DE6743"/>
    <w:rsid w:val="48E31DA3"/>
    <w:rsid w:val="48ED41AD"/>
    <w:rsid w:val="48ED61CC"/>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B1670"/>
    <w:rsid w:val="492C007B"/>
    <w:rsid w:val="4937639F"/>
    <w:rsid w:val="493A0025"/>
    <w:rsid w:val="493B3878"/>
    <w:rsid w:val="49406EBA"/>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5710F"/>
    <w:rsid w:val="4A871903"/>
    <w:rsid w:val="4A871F75"/>
    <w:rsid w:val="4A8C3A1A"/>
    <w:rsid w:val="4A8D2388"/>
    <w:rsid w:val="4A923DED"/>
    <w:rsid w:val="4A953DF5"/>
    <w:rsid w:val="4A9F5932"/>
    <w:rsid w:val="4AA254CC"/>
    <w:rsid w:val="4AA26564"/>
    <w:rsid w:val="4AA41B70"/>
    <w:rsid w:val="4AAC5C8A"/>
    <w:rsid w:val="4AAE72C9"/>
    <w:rsid w:val="4AB3536F"/>
    <w:rsid w:val="4ABD376E"/>
    <w:rsid w:val="4ABE5AE1"/>
    <w:rsid w:val="4AC81BBD"/>
    <w:rsid w:val="4ACE2CEB"/>
    <w:rsid w:val="4ACE71C3"/>
    <w:rsid w:val="4ADA4581"/>
    <w:rsid w:val="4ADB2287"/>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C6B25"/>
    <w:rsid w:val="4BBD50F7"/>
    <w:rsid w:val="4BBE6C52"/>
    <w:rsid w:val="4BCE16AF"/>
    <w:rsid w:val="4BD01D15"/>
    <w:rsid w:val="4BD4760F"/>
    <w:rsid w:val="4BDA0368"/>
    <w:rsid w:val="4BDA4819"/>
    <w:rsid w:val="4BE244A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35B89"/>
    <w:rsid w:val="4C770971"/>
    <w:rsid w:val="4C7A64FA"/>
    <w:rsid w:val="4C7B1D9D"/>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85AC7"/>
    <w:rsid w:val="4DBB2FA1"/>
    <w:rsid w:val="4DBD301E"/>
    <w:rsid w:val="4DC33165"/>
    <w:rsid w:val="4DC73899"/>
    <w:rsid w:val="4DCA144C"/>
    <w:rsid w:val="4DCA38C5"/>
    <w:rsid w:val="4DCF66F9"/>
    <w:rsid w:val="4DD674A5"/>
    <w:rsid w:val="4DD7573E"/>
    <w:rsid w:val="4DE63B8B"/>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E1DAB"/>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153DA"/>
    <w:rsid w:val="4F430F16"/>
    <w:rsid w:val="4F45562F"/>
    <w:rsid w:val="4F4A1B00"/>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154B1"/>
    <w:rsid w:val="4FB6420D"/>
    <w:rsid w:val="4FC42854"/>
    <w:rsid w:val="4FD17EB7"/>
    <w:rsid w:val="4FD51CBB"/>
    <w:rsid w:val="4FDB1C16"/>
    <w:rsid w:val="4FDB6C31"/>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4940CA"/>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1530"/>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87AB6"/>
    <w:rsid w:val="52AA276A"/>
    <w:rsid w:val="52AB727B"/>
    <w:rsid w:val="52AC0CD5"/>
    <w:rsid w:val="52AD19EC"/>
    <w:rsid w:val="52B06115"/>
    <w:rsid w:val="52BD2046"/>
    <w:rsid w:val="52BE3AE1"/>
    <w:rsid w:val="52BF3E6C"/>
    <w:rsid w:val="52C164D5"/>
    <w:rsid w:val="52C50DA9"/>
    <w:rsid w:val="52C96B9F"/>
    <w:rsid w:val="52CA7D04"/>
    <w:rsid w:val="52CC1E87"/>
    <w:rsid w:val="52D20B31"/>
    <w:rsid w:val="52D403EF"/>
    <w:rsid w:val="52D45610"/>
    <w:rsid w:val="52D80B2A"/>
    <w:rsid w:val="52D9151D"/>
    <w:rsid w:val="52DF1AFF"/>
    <w:rsid w:val="52E3438E"/>
    <w:rsid w:val="52E9702A"/>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5F1857"/>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81B58"/>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612F"/>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7410B"/>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C701A"/>
    <w:rsid w:val="559E40C7"/>
    <w:rsid w:val="55A3078C"/>
    <w:rsid w:val="55A41A0F"/>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15955"/>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512BF"/>
    <w:rsid w:val="56792D6E"/>
    <w:rsid w:val="567B7E49"/>
    <w:rsid w:val="5682270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45964"/>
    <w:rsid w:val="571A5890"/>
    <w:rsid w:val="571E3A85"/>
    <w:rsid w:val="571F0F7D"/>
    <w:rsid w:val="57240654"/>
    <w:rsid w:val="5725026D"/>
    <w:rsid w:val="57293202"/>
    <w:rsid w:val="572A2410"/>
    <w:rsid w:val="572B59CE"/>
    <w:rsid w:val="572D6D7C"/>
    <w:rsid w:val="5731061B"/>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318AF"/>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31914"/>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20594"/>
    <w:rsid w:val="584D2328"/>
    <w:rsid w:val="584F47C1"/>
    <w:rsid w:val="58555018"/>
    <w:rsid w:val="585B2327"/>
    <w:rsid w:val="585B52D7"/>
    <w:rsid w:val="585C497C"/>
    <w:rsid w:val="58674E25"/>
    <w:rsid w:val="586A6921"/>
    <w:rsid w:val="587B475E"/>
    <w:rsid w:val="587C54AA"/>
    <w:rsid w:val="587F184F"/>
    <w:rsid w:val="58836646"/>
    <w:rsid w:val="5886170D"/>
    <w:rsid w:val="588804F2"/>
    <w:rsid w:val="5888296F"/>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53132"/>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15728"/>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76C43"/>
    <w:rsid w:val="5A392F7F"/>
    <w:rsid w:val="5A3B4DBF"/>
    <w:rsid w:val="5A4279D0"/>
    <w:rsid w:val="5A443C28"/>
    <w:rsid w:val="5A464CAE"/>
    <w:rsid w:val="5A467C43"/>
    <w:rsid w:val="5A525FC1"/>
    <w:rsid w:val="5A5313B9"/>
    <w:rsid w:val="5A563FC2"/>
    <w:rsid w:val="5A565065"/>
    <w:rsid w:val="5A5B131C"/>
    <w:rsid w:val="5A5B1A93"/>
    <w:rsid w:val="5A5C484E"/>
    <w:rsid w:val="5A610DFC"/>
    <w:rsid w:val="5A6123EF"/>
    <w:rsid w:val="5A613B33"/>
    <w:rsid w:val="5A6227AF"/>
    <w:rsid w:val="5A624F4D"/>
    <w:rsid w:val="5A666F82"/>
    <w:rsid w:val="5A6A4253"/>
    <w:rsid w:val="5A7F3CC7"/>
    <w:rsid w:val="5A8418C8"/>
    <w:rsid w:val="5A862593"/>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562CE"/>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7C1415"/>
    <w:rsid w:val="5B7F5206"/>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A5F51"/>
    <w:rsid w:val="5BCB3DB6"/>
    <w:rsid w:val="5BCB536E"/>
    <w:rsid w:val="5BCD7D1A"/>
    <w:rsid w:val="5BCF43E5"/>
    <w:rsid w:val="5BD52630"/>
    <w:rsid w:val="5BD87977"/>
    <w:rsid w:val="5BDB2884"/>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67DEA"/>
    <w:rsid w:val="5C7E7A92"/>
    <w:rsid w:val="5C8000FD"/>
    <w:rsid w:val="5C807FFD"/>
    <w:rsid w:val="5C8B3823"/>
    <w:rsid w:val="5C8D22CE"/>
    <w:rsid w:val="5C8D4755"/>
    <w:rsid w:val="5C8E2E79"/>
    <w:rsid w:val="5C914521"/>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42171"/>
    <w:rsid w:val="5D094916"/>
    <w:rsid w:val="5D0C746D"/>
    <w:rsid w:val="5D112A23"/>
    <w:rsid w:val="5D1B3921"/>
    <w:rsid w:val="5D1F7F9E"/>
    <w:rsid w:val="5D2259F9"/>
    <w:rsid w:val="5D26057F"/>
    <w:rsid w:val="5D2E30EC"/>
    <w:rsid w:val="5D3142EC"/>
    <w:rsid w:val="5D3513B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7C12EC"/>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13173"/>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EF73E05"/>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23C2B"/>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70BF8"/>
    <w:rsid w:val="617D2724"/>
    <w:rsid w:val="61844CA1"/>
    <w:rsid w:val="61857F0D"/>
    <w:rsid w:val="61871447"/>
    <w:rsid w:val="61880654"/>
    <w:rsid w:val="618D52A1"/>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76F32"/>
    <w:rsid w:val="61D80255"/>
    <w:rsid w:val="61DE1F1F"/>
    <w:rsid w:val="61E655B9"/>
    <w:rsid w:val="61F17C25"/>
    <w:rsid w:val="61F859EB"/>
    <w:rsid w:val="61FE4354"/>
    <w:rsid w:val="61FE5F99"/>
    <w:rsid w:val="620058CC"/>
    <w:rsid w:val="62024878"/>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42E00"/>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3127D"/>
    <w:rsid w:val="636B5105"/>
    <w:rsid w:val="637C5741"/>
    <w:rsid w:val="63816053"/>
    <w:rsid w:val="638D6941"/>
    <w:rsid w:val="639E5CB4"/>
    <w:rsid w:val="63A40734"/>
    <w:rsid w:val="63AB1A91"/>
    <w:rsid w:val="63B553E0"/>
    <w:rsid w:val="63BE5405"/>
    <w:rsid w:val="63C14FC9"/>
    <w:rsid w:val="63C54498"/>
    <w:rsid w:val="63C5745F"/>
    <w:rsid w:val="63C76F91"/>
    <w:rsid w:val="63D407E9"/>
    <w:rsid w:val="63D61439"/>
    <w:rsid w:val="63E24ED9"/>
    <w:rsid w:val="63E63D09"/>
    <w:rsid w:val="63E9343E"/>
    <w:rsid w:val="63E960DC"/>
    <w:rsid w:val="63FA66D5"/>
    <w:rsid w:val="63FA6EBC"/>
    <w:rsid w:val="63FB70D2"/>
    <w:rsid w:val="63FC1FB2"/>
    <w:rsid w:val="63FE35FF"/>
    <w:rsid w:val="63FF12C6"/>
    <w:rsid w:val="6402616F"/>
    <w:rsid w:val="640456B5"/>
    <w:rsid w:val="64051D8F"/>
    <w:rsid w:val="64063F20"/>
    <w:rsid w:val="64096E19"/>
    <w:rsid w:val="640F43C5"/>
    <w:rsid w:val="64105F4A"/>
    <w:rsid w:val="64180D5D"/>
    <w:rsid w:val="642039FB"/>
    <w:rsid w:val="642414EC"/>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5F6AAB"/>
    <w:rsid w:val="64675D18"/>
    <w:rsid w:val="646A695C"/>
    <w:rsid w:val="646B64A2"/>
    <w:rsid w:val="646D1B4F"/>
    <w:rsid w:val="646F7FCD"/>
    <w:rsid w:val="64735CFC"/>
    <w:rsid w:val="64774B78"/>
    <w:rsid w:val="647D689B"/>
    <w:rsid w:val="648604FA"/>
    <w:rsid w:val="648F7779"/>
    <w:rsid w:val="64926E13"/>
    <w:rsid w:val="64963E43"/>
    <w:rsid w:val="649A7664"/>
    <w:rsid w:val="64A257B3"/>
    <w:rsid w:val="64A47BA0"/>
    <w:rsid w:val="64A7394F"/>
    <w:rsid w:val="64AA258B"/>
    <w:rsid w:val="64AF3DCE"/>
    <w:rsid w:val="64B16DC0"/>
    <w:rsid w:val="64B500C0"/>
    <w:rsid w:val="64B677CA"/>
    <w:rsid w:val="64C10F83"/>
    <w:rsid w:val="64C3025B"/>
    <w:rsid w:val="64C331AF"/>
    <w:rsid w:val="64C52E92"/>
    <w:rsid w:val="64C5425E"/>
    <w:rsid w:val="64CE344B"/>
    <w:rsid w:val="64CF45B6"/>
    <w:rsid w:val="64D11873"/>
    <w:rsid w:val="64D24A69"/>
    <w:rsid w:val="64D545B9"/>
    <w:rsid w:val="64D61A3D"/>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1799E"/>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12FD0"/>
    <w:rsid w:val="65F70497"/>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04E56"/>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73D16"/>
    <w:rsid w:val="685B0910"/>
    <w:rsid w:val="685E52C7"/>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96C42"/>
    <w:rsid w:val="6A5A4B58"/>
    <w:rsid w:val="6A5D6240"/>
    <w:rsid w:val="6A6146FC"/>
    <w:rsid w:val="6A6641A9"/>
    <w:rsid w:val="6A69282B"/>
    <w:rsid w:val="6A7F1E08"/>
    <w:rsid w:val="6A861ADE"/>
    <w:rsid w:val="6A8B2E45"/>
    <w:rsid w:val="6A8D50B1"/>
    <w:rsid w:val="6A90701E"/>
    <w:rsid w:val="6AA5591A"/>
    <w:rsid w:val="6AAE79DB"/>
    <w:rsid w:val="6AAF7616"/>
    <w:rsid w:val="6AB719C0"/>
    <w:rsid w:val="6AC21448"/>
    <w:rsid w:val="6AD5324E"/>
    <w:rsid w:val="6AD9752E"/>
    <w:rsid w:val="6ADA00F9"/>
    <w:rsid w:val="6ADA4924"/>
    <w:rsid w:val="6ADA7CB9"/>
    <w:rsid w:val="6ADB0495"/>
    <w:rsid w:val="6ADB2223"/>
    <w:rsid w:val="6ADC0691"/>
    <w:rsid w:val="6AE15310"/>
    <w:rsid w:val="6AEB2E2D"/>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61FBC"/>
    <w:rsid w:val="6BD72BA4"/>
    <w:rsid w:val="6BD817FC"/>
    <w:rsid w:val="6BD92C40"/>
    <w:rsid w:val="6BE211D0"/>
    <w:rsid w:val="6BE85B99"/>
    <w:rsid w:val="6BEA5705"/>
    <w:rsid w:val="6BF81A91"/>
    <w:rsid w:val="6BF87C20"/>
    <w:rsid w:val="6BFC18CF"/>
    <w:rsid w:val="6C0656C7"/>
    <w:rsid w:val="6C073159"/>
    <w:rsid w:val="6C0A7487"/>
    <w:rsid w:val="6C0C1740"/>
    <w:rsid w:val="6C105B45"/>
    <w:rsid w:val="6C172E65"/>
    <w:rsid w:val="6C19484C"/>
    <w:rsid w:val="6C1B6BCF"/>
    <w:rsid w:val="6C224CA8"/>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33ACD"/>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445F6"/>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7649A"/>
    <w:rsid w:val="6E7838C8"/>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A5637"/>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55A0E"/>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2478A"/>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B7DAF"/>
    <w:rsid w:val="704C746F"/>
    <w:rsid w:val="705131C6"/>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4475"/>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3E22A6"/>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8F49C0"/>
    <w:rsid w:val="729446A5"/>
    <w:rsid w:val="72953DC8"/>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29C1"/>
    <w:rsid w:val="73654DAE"/>
    <w:rsid w:val="73661C04"/>
    <w:rsid w:val="736B2E4C"/>
    <w:rsid w:val="736D44EF"/>
    <w:rsid w:val="73776CA0"/>
    <w:rsid w:val="73784FFF"/>
    <w:rsid w:val="738564EC"/>
    <w:rsid w:val="738608D1"/>
    <w:rsid w:val="73875C6D"/>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625F4"/>
    <w:rsid w:val="741D60E7"/>
    <w:rsid w:val="741F45B5"/>
    <w:rsid w:val="74200A88"/>
    <w:rsid w:val="742130F2"/>
    <w:rsid w:val="7427479C"/>
    <w:rsid w:val="742C4642"/>
    <w:rsid w:val="742F4C51"/>
    <w:rsid w:val="74315D5C"/>
    <w:rsid w:val="74321A3A"/>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A616D"/>
    <w:rsid w:val="74EE554E"/>
    <w:rsid w:val="74F0600E"/>
    <w:rsid w:val="74F5251C"/>
    <w:rsid w:val="74F74C42"/>
    <w:rsid w:val="74FA58DA"/>
    <w:rsid w:val="75023848"/>
    <w:rsid w:val="75140562"/>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44D0C"/>
    <w:rsid w:val="75CB73D0"/>
    <w:rsid w:val="75D03E3B"/>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6F399D"/>
    <w:rsid w:val="77710FF5"/>
    <w:rsid w:val="777116CC"/>
    <w:rsid w:val="77786793"/>
    <w:rsid w:val="777965ED"/>
    <w:rsid w:val="77796881"/>
    <w:rsid w:val="777C360C"/>
    <w:rsid w:val="77817EAC"/>
    <w:rsid w:val="77824D35"/>
    <w:rsid w:val="77831AE1"/>
    <w:rsid w:val="778525BE"/>
    <w:rsid w:val="77893890"/>
    <w:rsid w:val="779A0C57"/>
    <w:rsid w:val="779D02C7"/>
    <w:rsid w:val="779D7593"/>
    <w:rsid w:val="77A4407E"/>
    <w:rsid w:val="77A5337F"/>
    <w:rsid w:val="77A54E81"/>
    <w:rsid w:val="77A62F27"/>
    <w:rsid w:val="77A8672A"/>
    <w:rsid w:val="77AD7CE1"/>
    <w:rsid w:val="77BA4EF4"/>
    <w:rsid w:val="77BD0DA3"/>
    <w:rsid w:val="77BD3E52"/>
    <w:rsid w:val="77C31B85"/>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D83AEB"/>
    <w:rsid w:val="79E31176"/>
    <w:rsid w:val="79E47CE3"/>
    <w:rsid w:val="79E578D2"/>
    <w:rsid w:val="79EE32CF"/>
    <w:rsid w:val="79F23FC3"/>
    <w:rsid w:val="79F729CB"/>
    <w:rsid w:val="7A005272"/>
    <w:rsid w:val="7A036672"/>
    <w:rsid w:val="7A050085"/>
    <w:rsid w:val="7A051B4F"/>
    <w:rsid w:val="7A053057"/>
    <w:rsid w:val="7A073240"/>
    <w:rsid w:val="7A151346"/>
    <w:rsid w:val="7A1C4E6B"/>
    <w:rsid w:val="7A1C731F"/>
    <w:rsid w:val="7A1E221D"/>
    <w:rsid w:val="7A232DB1"/>
    <w:rsid w:val="7A2510CB"/>
    <w:rsid w:val="7A265087"/>
    <w:rsid w:val="7A2931DA"/>
    <w:rsid w:val="7A2C30D1"/>
    <w:rsid w:val="7A311FD6"/>
    <w:rsid w:val="7A340D66"/>
    <w:rsid w:val="7A3632AD"/>
    <w:rsid w:val="7A372363"/>
    <w:rsid w:val="7A422D94"/>
    <w:rsid w:val="7A4363BA"/>
    <w:rsid w:val="7A4555A2"/>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12C5"/>
    <w:rsid w:val="7AC42EFD"/>
    <w:rsid w:val="7AC47D15"/>
    <w:rsid w:val="7AC75BCD"/>
    <w:rsid w:val="7AC810FF"/>
    <w:rsid w:val="7AC83268"/>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C3C92"/>
    <w:rsid w:val="7B4E463F"/>
    <w:rsid w:val="7B550266"/>
    <w:rsid w:val="7B5A5314"/>
    <w:rsid w:val="7B5B76F6"/>
    <w:rsid w:val="7B602150"/>
    <w:rsid w:val="7B603959"/>
    <w:rsid w:val="7B676814"/>
    <w:rsid w:val="7B885A66"/>
    <w:rsid w:val="7B887DF3"/>
    <w:rsid w:val="7B8C748D"/>
    <w:rsid w:val="7B94652A"/>
    <w:rsid w:val="7B9D5A66"/>
    <w:rsid w:val="7BA52254"/>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278E8"/>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304FB"/>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5E62BD"/>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745E4"/>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5688"/>
    <w:rsid w:val="7E527F8B"/>
    <w:rsid w:val="7E536B77"/>
    <w:rsid w:val="7E57165F"/>
    <w:rsid w:val="7E584483"/>
    <w:rsid w:val="7E671519"/>
    <w:rsid w:val="7E714518"/>
    <w:rsid w:val="7E725064"/>
    <w:rsid w:val="7E7A2FDF"/>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4705D"/>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E3B55"/>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585B9"/>
  <w15:docId w15:val="{B576AA75-0EC5-4EF6-B472-819D429E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62E52-3B44-4B04-B235-B3050F06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1322</Words>
  <Characters>7538</Characters>
  <Application>Microsoft Office Word</Application>
  <DocSecurity>0</DocSecurity>
  <Lines>62</Lines>
  <Paragraphs>17</Paragraphs>
  <ScaleCrop>false</ScaleCrop>
  <Company>www.zte.com.cn</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45</cp:revision>
  <cp:lastPrinted>2113-01-01T00:00:00Z</cp:lastPrinted>
  <dcterms:created xsi:type="dcterms:W3CDTF">2022-08-10T06:25:00Z</dcterms:created>
  <dcterms:modified xsi:type="dcterms:W3CDTF">2024-04-05T04:32:00Z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